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contextualSpacing/>
        <w:jc w:val="center"/>
        <w:rPr>
          <w:rFonts w:ascii="Calibri Light" w:hAnsi="Calibri Light"/>
        </w:rPr>
      </w:pPr>
      <w:r>
        <w:rPr>
          <w:rFonts w:cs="Arial" w:ascii="Calibri Light" w:hAnsi="Calibri Light"/>
          <w:b w:val="false"/>
          <w:bCs w:val="false"/>
          <w:color w:val="000000"/>
          <w:sz w:val="20"/>
          <w:szCs w:val="20"/>
        </w:rPr>
        <w:t>TERMO DE REFERÊNCIA</w:t>
        <w:br/>
        <w:t>Lei nº 14.133, de 1º de abril de 2021</w:t>
        <w:br/>
        <w:t>AQUISIÇÕES</w:t>
      </w:r>
    </w:p>
    <w:p>
      <w:pPr>
        <w:pStyle w:val="Normal"/>
        <w:spacing w:lineRule="auto" w:line="312" w:before="0" w:after="288"/>
        <w:contextualSpacing/>
        <w:jc w:val="center"/>
        <w:rPr>
          <w:rFonts w:ascii="Calibri Light" w:hAnsi="Calibri Light"/>
        </w:rPr>
      </w:pPr>
      <w:r>
        <w:rPr>
          <w:rFonts w:cs="Arial" w:ascii="Calibri Light" w:hAnsi="Calibri Light"/>
          <w:b w:val="false"/>
          <w:bCs w:val="false"/>
          <w:color w:val="000000"/>
          <w:sz w:val="20"/>
          <w:szCs w:val="20"/>
        </w:rPr>
        <w:t xml:space="preserve">LICITAÇÃO </w:t>
      </w:r>
    </w:p>
    <w:p>
      <w:pPr>
        <w:pStyle w:val="Normal"/>
        <w:tabs>
          <w:tab w:val="clear" w:pos="709"/>
          <w:tab w:val="left" w:pos="708" w:leader="none"/>
          <w:tab w:val="left" w:pos="5103" w:leader="none"/>
        </w:tabs>
        <w:spacing w:lineRule="auto" w:line="240" w:before="0" w:after="0"/>
        <w:ind w:left="0" w:right="0" w:hanging="0"/>
        <w:jc w:val="center"/>
        <w:rPr>
          <w:rFonts w:ascii="Calibri Light" w:hAnsi="Calibri Light"/>
        </w:rPr>
      </w:pPr>
      <w:r>
        <w:drawing>
          <wp:anchor behindDoc="0" distT="0" distB="0" distL="114300" distR="114300" simplePos="0" locked="0" layoutInCell="0" allowOverlap="1" relativeHeight="2">
            <wp:simplePos x="0" y="0"/>
            <wp:positionH relativeFrom="column">
              <wp:posOffset>2703830</wp:posOffset>
            </wp:positionH>
            <wp:positionV relativeFrom="paragraph">
              <wp:posOffset>6985</wp:posOffset>
            </wp:positionV>
            <wp:extent cx="685165" cy="748030"/>
            <wp:effectExtent l="0" t="0" r="0" b="0"/>
            <wp:wrapTopAndBottom/>
            <wp:docPr id="1" name="Imagem 18669637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6963775" descr=""/>
                    <pic:cNvPicPr>
                      <a:picLocks noChangeAspect="1" noChangeArrowheads="1"/>
                    </pic:cNvPicPr>
                  </pic:nvPicPr>
                  <pic:blipFill>
                    <a:blip r:embed="rId2"/>
                    <a:stretch>
                      <a:fillRect/>
                    </a:stretch>
                  </pic:blipFill>
                  <pic:spPr bwMode="auto">
                    <a:xfrm>
                      <a:off x="0" y="0"/>
                      <a:ext cx="685165" cy="748030"/>
                    </a:xfrm>
                    <a:prstGeom prst="rect">
                      <a:avLst/>
                    </a:prstGeom>
                  </pic:spPr>
                </pic:pic>
              </a:graphicData>
            </a:graphic>
          </wp:anchor>
        </w:drawing>
      </w:r>
      <w:r>
        <w:rPr>
          <w:rFonts w:cs="Times New Roman" w:ascii="Calibri Light" w:hAnsi="Calibri Light"/>
          <w:b w:val="false"/>
          <w:bCs w:val="false"/>
          <w:i w:val="false"/>
          <w:iCs w:val="false"/>
          <w:color w:val="000000"/>
          <w:sz w:val="20"/>
          <w:szCs w:val="20"/>
        </w:rPr>
        <w:t>MINISTÉRIO DA DEFESA</w:t>
      </w:r>
    </w:p>
    <w:p>
      <w:pPr>
        <w:pStyle w:val="Normal"/>
        <w:tabs>
          <w:tab w:val="clear" w:pos="709"/>
          <w:tab w:val="left" w:pos="708" w:leader="none"/>
          <w:tab w:val="left" w:pos="5103" w:leader="none"/>
        </w:tabs>
        <w:spacing w:lineRule="auto" w:line="240" w:before="0" w:after="0"/>
        <w:ind w:left="0" w:right="0" w:hanging="0"/>
        <w:jc w:val="center"/>
        <w:rPr>
          <w:rFonts w:ascii="Calibri Light" w:hAnsi="Calibri Light"/>
        </w:rPr>
      </w:pPr>
      <w:r>
        <w:rPr>
          <w:rFonts w:cs="Times New Roman" w:ascii="Calibri Light" w:hAnsi="Calibri Light"/>
          <w:b w:val="false"/>
          <w:bCs w:val="false"/>
          <w:i w:val="false"/>
          <w:iCs w:val="false"/>
          <w:color w:val="000000"/>
          <w:sz w:val="20"/>
          <w:szCs w:val="20"/>
        </w:rPr>
        <w:t xml:space="preserve"> </w:t>
      </w:r>
      <w:r>
        <w:rPr>
          <w:rFonts w:cs="Times New Roman" w:ascii="Calibri Light" w:hAnsi="Calibri Light"/>
          <w:b w:val="false"/>
          <w:bCs w:val="false"/>
          <w:i w:val="false"/>
          <w:iCs w:val="false"/>
          <w:color w:val="000000"/>
          <w:sz w:val="20"/>
          <w:szCs w:val="20"/>
        </w:rPr>
        <w:t>EXÉRCITO BRASILEIRO</w:t>
      </w:r>
    </w:p>
    <w:p>
      <w:pPr>
        <w:pStyle w:val="Normal"/>
        <w:ind w:left="0" w:right="0" w:hanging="0"/>
        <w:jc w:val="center"/>
        <w:rPr>
          <w:rFonts w:ascii="Calibri Light" w:hAnsi="Calibri Light"/>
        </w:rPr>
      </w:pPr>
      <w:r>
        <w:rPr>
          <w:rFonts w:eastAsia="Times New Roman" w:cs="Arial" w:ascii="Calibri Light" w:hAnsi="Calibri Light"/>
          <w:b w:val="false"/>
          <w:bCs w:val="false"/>
          <w:i w:val="false"/>
          <w:iCs w:val="false"/>
          <w:color w:val="000000"/>
          <w:sz w:val="20"/>
          <w:szCs w:val="20"/>
        </w:rPr>
        <w:t xml:space="preserve"> </w:t>
      </w:r>
      <w:r>
        <w:rPr>
          <w:rFonts w:eastAsia="Times New Roman" w:cs="Arial" w:ascii="Calibri Light" w:hAnsi="Calibri Light"/>
          <w:b w:val="false"/>
          <w:bCs w:val="false"/>
          <w:i w:val="false"/>
          <w:iCs w:val="false"/>
          <w:color w:val="000000"/>
          <w:sz w:val="20"/>
          <w:szCs w:val="20"/>
        </w:rPr>
        <w:t>23º ESQUADRÃO DE CAVALARIA DE SELVA</w:t>
      </w:r>
    </w:p>
    <w:p>
      <w:pPr>
        <w:pStyle w:val="Normal"/>
        <w:ind w:left="0" w:right="0" w:hanging="0"/>
        <w:jc w:val="center"/>
        <w:rPr>
          <w:rFonts w:ascii="Calibri Light" w:hAnsi="Calibri Light" w:cs="Times New Roman"/>
          <w:b w:val="false"/>
          <w:bCs w:val="false"/>
          <w:i w:val="false"/>
          <w:i w:val="false"/>
          <w:iCs w:val="false"/>
          <w:color w:val="000000"/>
          <w:sz w:val="20"/>
          <w:szCs w:val="20"/>
        </w:rPr>
      </w:pPr>
      <w:r>
        <w:rPr>
          <w:rFonts w:cs="Times New Roman" w:ascii="Calibri Light" w:hAnsi="Calibri Light"/>
          <w:b w:val="false"/>
          <w:bCs w:val="false"/>
          <w:i w:val="false"/>
          <w:iCs w:val="false"/>
          <w:color w:val="000000"/>
          <w:sz w:val="20"/>
          <w:szCs w:val="20"/>
        </w:rPr>
      </w:r>
    </w:p>
    <w:p>
      <w:pPr>
        <w:pStyle w:val="Normal"/>
        <w:spacing w:lineRule="auto" w:line="312" w:before="120" w:after="288"/>
        <w:jc w:val="center"/>
        <w:rPr>
          <w:rFonts w:ascii="Calibri Light" w:hAnsi="Calibri Light"/>
        </w:rPr>
      </w:pPr>
      <w:r>
        <w:rPr>
          <w:rFonts w:cs="Arial" w:ascii="Calibri Light" w:hAnsi="Calibri Light"/>
          <w:b w:val="false"/>
          <w:bCs w:val="false"/>
          <w:i w:val="false"/>
          <w:iCs w:val="false"/>
          <w:color w:val="000000"/>
          <w:sz w:val="20"/>
          <w:szCs w:val="20"/>
        </w:rPr>
        <w:t>(Processo Administrativo n° 64626.002260/2025-10)</w:t>
      </w:r>
    </w:p>
    <w:p>
      <w:pPr>
        <w:pStyle w:val="Normal"/>
        <w:spacing w:lineRule="auto" w:line="312" w:before="0" w:after="288"/>
        <w:jc w:val="center"/>
        <w:rPr>
          <w:rFonts w:ascii="Calibri Light" w:hAnsi="Calibri Light"/>
          <w:sz w:val="24"/>
          <w:szCs w:val="24"/>
        </w:rPr>
      </w:pPr>
      <w:r>
        <w:rPr>
          <w:rFonts w:cs="Arial" w:ascii="Calibri Light" w:hAnsi="Calibri Light"/>
          <w:b/>
          <w:bCs/>
          <w:i w:val="false"/>
          <w:iCs w:val="false"/>
          <w:color w:val="000000"/>
          <w:sz w:val="24"/>
          <w:szCs w:val="24"/>
        </w:rPr>
        <w:t>TERMO DE REFERÊNCIA</w:t>
      </w:r>
    </w:p>
    <w:p>
      <w:pPr>
        <w:pStyle w:val="Nivel01"/>
        <w:numPr>
          <w:ilvl w:val="0"/>
          <w:numId w:val="3"/>
        </w:numPr>
        <w:ind w:left="357" w:right="0" w:hanging="357"/>
        <w:rPr>
          <w:rFonts w:ascii="Calibri Light" w:hAnsi="Calibri Light"/>
          <w:sz w:val="24"/>
          <w:szCs w:val="24"/>
        </w:rPr>
      </w:pPr>
      <w:r>
        <w:rPr>
          <w:rFonts w:ascii="Calibri Light" w:hAnsi="Calibri Light"/>
          <w:i w:val="false"/>
          <w:iCs w:val="false"/>
          <w:color w:val="000000"/>
          <w:sz w:val="24"/>
          <w:szCs w:val="24"/>
        </w:rPr>
        <w:t>CONDIÇÕES GERAIS DA CONTRATAÇÃO</w:t>
      </w:r>
    </w:p>
    <w:p>
      <w:pPr>
        <w:pStyle w:val="Nvel02"/>
        <w:numPr>
          <w:ilvl w:val="1"/>
          <w:numId w:val="3"/>
        </w:numPr>
        <w:ind w:left="0" w:right="0" w:hanging="0"/>
        <w:rPr>
          <w:rFonts w:ascii="Calibri Light" w:hAnsi="Calibri Light"/>
          <w:sz w:val="24"/>
          <w:szCs w:val="24"/>
        </w:rPr>
      </w:pPr>
      <w:r>
        <w:rPr>
          <w:rFonts w:ascii="Calibri Light" w:hAnsi="Calibri Light"/>
          <w:b w:val="false"/>
          <w:i w:val="false"/>
          <w:iCs w:val="false"/>
          <w:caps w:val="false"/>
          <w:smallCaps w:val="false"/>
          <w:color w:val="000000"/>
          <w:spacing w:val="0"/>
          <w:sz w:val="24"/>
          <w:szCs w:val="24"/>
        </w:rPr>
        <w:t>Visando registrar preços para eventual aquisição de material farmacológico (SI-30.09); material hospitalar (SI-30.36); aquisição de material odontológico (SI-30.10); destinados</w:t>
      </w:r>
      <w:r>
        <w:rPr>
          <w:rFonts w:ascii="Calibri Light" w:hAnsi="Calibri Light"/>
          <w:i w:val="false"/>
          <w:iCs w:val="false"/>
          <w:color w:val="000000"/>
          <w:sz w:val="24"/>
          <w:szCs w:val="24"/>
        </w:rPr>
        <w:t xml:space="preserve"> a seção de Saúde de 23° Esquadrão de Cavalaria de Selva</w:t>
      </w:r>
      <w:bookmarkStart w:id="0" w:name="_Ref172096041"/>
      <w:r>
        <w:rPr>
          <w:rFonts w:ascii="Calibri Light" w:hAnsi="Calibri Light"/>
          <w:i w:val="false"/>
          <w:iCs w:val="false"/>
          <w:color w:val="000000"/>
          <w:sz w:val="24"/>
          <w:szCs w:val="24"/>
        </w:rPr>
        <w:t>, nos termos da tabela abaixo, conforme condições e exigências estabelecidas neste instrumento.</w:t>
      </w:r>
      <w:bookmarkEnd w:id="0"/>
    </w:p>
    <w:p>
      <w:pPr>
        <w:pStyle w:val="Nvel02"/>
        <w:numPr>
          <w:ilvl w:val="0"/>
          <w:numId w:val="0"/>
        </w:numPr>
        <w:ind w:left="0" w:right="0" w:hanging="0"/>
        <w:rPr>
          <w:rFonts w:ascii="Calibri Light" w:hAnsi="Calibri Light"/>
          <w:i w:val="false"/>
          <w:i w:val="false"/>
          <w:iCs w:val="false"/>
          <w:color w:val="000000"/>
          <w:sz w:val="24"/>
          <w:szCs w:val="24"/>
        </w:rPr>
      </w:pPr>
      <w:r>
        <w:rPr>
          <w:rFonts w:ascii="Calibri Light" w:hAnsi="Calibri Light"/>
          <w:i w:val="false"/>
          <w:iCs w:val="false"/>
          <w:color w:val="000000"/>
          <w:sz w:val="24"/>
          <w:szCs w:val="24"/>
        </w:rPr>
      </w:r>
    </w:p>
    <w:tbl>
      <w:tblPr>
        <w:tblW w:w="10185" w:type="dxa"/>
        <w:jc w:val="left"/>
        <w:tblInd w:w="-145" w:type="dxa"/>
        <w:tblLayout w:type="fixed"/>
        <w:tblCellMar>
          <w:top w:w="28" w:type="dxa"/>
          <w:left w:w="28" w:type="dxa"/>
          <w:bottom w:w="28" w:type="dxa"/>
          <w:right w:w="28" w:type="dxa"/>
        </w:tblCellMar>
      </w:tblPr>
      <w:tblGrid>
        <w:gridCol w:w="570"/>
        <w:gridCol w:w="4245"/>
        <w:gridCol w:w="795"/>
        <w:gridCol w:w="1140"/>
        <w:gridCol w:w="900"/>
        <w:gridCol w:w="1140"/>
        <w:gridCol w:w="1394"/>
      </w:tblGrid>
      <w:tr>
        <w:trPr/>
        <w:tc>
          <w:tcPr>
            <w:tcW w:w="570"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pacing w:before="0" w:after="283"/>
              <w:jc w:val="both"/>
              <w:rPr/>
            </w:pPr>
            <w:r>
              <w:rPr>
                <w:rStyle w:val="Strong"/>
                <w:rFonts w:ascii="Calibri Light" w:hAnsi="Calibri Light"/>
                <w:i w:val="false"/>
                <w:iCs w:val="false"/>
                <w:color w:val="000000"/>
                <w:sz w:val="22"/>
                <w:szCs w:val="22"/>
              </w:rPr>
              <w:t>ITEM</w:t>
            </w:r>
          </w:p>
        </w:tc>
        <w:tc>
          <w:tcPr>
            <w:tcW w:w="4245" w:type="dxa"/>
            <w:tcBorders>
              <w:top w:val="single" w:sz="2" w:space="0" w:color="000000"/>
              <w:bottom w:val="single" w:sz="2" w:space="0" w:color="000000"/>
              <w:right w:val="single" w:sz="2" w:space="0" w:color="000000"/>
            </w:tcBorders>
            <w:tcMar>
              <w:left w:w="0" w:type="dxa"/>
            </w:tcMar>
            <w:vAlign w:val="center"/>
          </w:tcPr>
          <w:p>
            <w:pPr>
              <w:pStyle w:val="Contedodatabela"/>
              <w:widowControl w:val="false"/>
              <w:spacing w:before="0" w:after="283"/>
              <w:jc w:val="both"/>
              <w:rPr/>
            </w:pPr>
            <w:r>
              <w:rPr>
                <w:rStyle w:val="Strong"/>
                <w:rFonts w:ascii="Calibri Light" w:hAnsi="Calibri Light"/>
                <w:i w:val="false"/>
                <w:iCs w:val="false"/>
                <w:color w:val="000000"/>
                <w:sz w:val="22"/>
                <w:szCs w:val="22"/>
              </w:rPr>
              <w:t>ESPECIFICAÇÃO DO MATERIAL</w:t>
            </w:r>
          </w:p>
        </w:tc>
        <w:tc>
          <w:tcPr>
            <w:tcW w:w="795" w:type="dxa"/>
            <w:tcBorders>
              <w:top w:val="single" w:sz="2" w:space="0" w:color="000000"/>
              <w:bottom w:val="single" w:sz="2" w:space="0" w:color="000000"/>
              <w:right w:val="single" w:sz="2" w:space="0" w:color="000000"/>
            </w:tcBorders>
            <w:tcMar>
              <w:left w:w="0" w:type="dxa"/>
            </w:tcMar>
            <w:vAlign w:val="center"/>
          </w:tcPr>
          <w:p>
            <w:pPr>
              <w:pStyle w:val="Contedodatabela"/>
              <w:widowControl w:val="false"/>
              <w:spacing w:before="0" w:after="283"/>
              <w:jc w:val="center"/>
              <w:rPr/>
            </w:pPr>
            <w:r>
              <w:rPr>
                <w:rStyle w:val="Strong"/>
                <w:rFonts w:ascii="Calibri Light" w:hAnsi="Calibri Light"/>
                <w:i w:val="false"/>
                <w:iCs w:val="false"/>
                <w:color w:val="000000"/>
                <w:sz w:val="22"/>
                <w:szCs w:val="22"/>
              </w:rPr>
              <w:t>CATMAT</w:t>
            </w:r>
          </w:p>
        </w:tc>
        <w:tc>
          <w:tcPr>
            <w:tcW w:w="1140" w:type="dxa"/>
            <w:tcBorders>
              <w:top w:val="single" w:sz="2" w:space="0" w:color="000000"/>
              <w:bottom w:val="single" w:sz="2" w:space="0" w:color="000000"/>
              <w:right w:val="single" w:sz="2" w:space="0" w:color="000000"/>
            </w:tcBorders>
            <w:tcMar>
              <w:left w:w="0" w:type="dxa"/>
            </w:tcMar>
            <w:vAlign w:val="center"/>
          </w:tcPr>
          <w:p>
            <w:pPr>
              <w:pStyle w:val="Contedodatabela"/>
              <w:widowControl w:val="false"/>
              <w:spacing w:before="0" w:after="283"/>
              <w:jc w:val="center"/>
              <w:rPr/>
            </w:pPr>
            <w:r>
              <w:rPr>
                <w:rStyle w:val="Strong"/>
                <w:rFonts w:ascii="Calibri Light" w:hAnsi="Calibri Light"/>
                <w:i w:val="false"/>
                <w:iCs w:val="false"/>
                <w:color w:val="000000"/>
                <w:sz w:val="22"/>
                <w:szCs w:val="22"/>
              </w:rPr>
              <w:t>UND</w:t>
            </w:r>
          </w:p>
        </w:tc>
        <w:tc>
          <w:tcPr>
            <w:tcW w:w="900" w:type="dxa"/>
            <w:tcBorders>
              <w:top w:val="single" w:sz="2" w:space="0" w:color="000000"/>
              <w:bottom w:val="single" w:sz="2" w:space="0" w:color="000000"/>
              <w:right w:val="single" w:sz="2" w:space="0" w:color="000000"/>
            </w:tcBorders>
            <w:tcMar>
              <w:left w:w="0" w:type="dxa"/>
            </w:tcMar>
            <w:vAlign w:val="center"/>
          </w:tcPr>
          <w:p>
            <w:pPr>
              <w:pStyle w:val="Contedodatabela"/>
              <w:widowControl w:val="false"/>
              <w:spacing w:before="0" w:after="283"/>
              <w:jc w:val="center"/>
              <w:rPr/>
            </w:pPr>
            <w:r>
              <w:rPr>
                <w:rStyle w:val="Strong"/>
                <w:rFonts w:ascii="Calibri Light" w:hAnsi="Calibri Light"/>
                <w:i w:val="false"/>
                <w:iCs w:val="false"/>
                <w:color w:val="000000"/>
                <w:sz w:val="22"/>
                <w:szCs w:val="22"/>
              </w:rPr>
              <w:t>QTD</w:t>
            </w:r>
          </w:p>
        </w:tc>
        <w:tc>
          <w:tcPr>
            <w:tcW w:w="1140" w:type="dxa"/>
            <w:tcBorders>
              <w:top w:val="single" w:sz="2" w:space="0" w:color="000000"/>
              <w:bottom w:val="single" w:sz="2" w:space="0" w:color="000000"/>
            </w:tcBorders>
            <w:tcMar>
              <w:left w:w="0" w:type="dxa"/>
              <w:right w:w="0" w:type="dxa"/>
            </w:tcMar>
            <w:vAlign w:val="center"/>
          </w:tcPr>
          <w:p>
            <w:pPr>
              <w:pStyle w:val="Contedodatabela"/>
              <w:widowControl w:val="false"/>
              <w:spacing w:before="0" w:after="283"/>
              <w:jc w:val="center"/>
              <w:rPr/>
            </w:pPr>
            <w:r>
              <w:rPr>
                <w:rStyle w:val="Strong"/>
                <w:rFonts w:ascii="Calibri Light" w:hAnsi="Calibri Light"/>
                <w:i w:val="false"/>
                <w:iCs w:val="false"/>
                <w:color w:val="000000"/>
                <w:sz w:val="22"/>
                <w:szCs w:val="22"/>
              </w:rPr>
              <w:t> </w:t>
            </w:r>
            <w:r>
              <w:rPr>
                <w:rStyle w:val="Strong"/>
                <w:rFonts w:ascii="Calibri Light" w:hAnsi="Calibri Light"/>
                <w:i w:val="false"/>
                <w:iCs w:val="false"/>
                <w:color w:val="000000"/>
                <w:sz w:val="22"/>
                <w:szCs w:val="22"/>
              </w:rPr>
              <w:t>VALOR UNT</w:t>
            </w:r>
          </w:p>
        </w:tc>
        <w:tc>
          <w:tcPr>
            <w:tcW w:w="1394"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pacing w:before="0" w:after="283"/>
              <w:jc w:val="center"/>
              <w:rPr/>
            </w:pPr>
            <w:r>
              <w:rPr>
                <w:rStyle w:val="Strong"/>
                <w:rFonts w:ascii="Calibri Light" w:hAnsi="Calibri Light"/>
                <w:i w:val="false"/>
                <w:iCs w:val="false"/>
                <w:color w:val="000000"/>
                <w:sz w:val="22"/>
                <w:szCs w:val="22"/>
              </w:rPr>
              <w:t> </w:t>
            </w:r>
            <w:r>
              <w:rPr>
                <w:rStyle w:val="Strong"/>
                <w:rFonts w:ascii="Calibri Light" w:hAnsi="Calibri Light"/>
                <w:i w:val="false"/>
                <w:iCs w:val="false"/>
                <w:color w:val="000000"/>
                <w:sz w:val="22"/>
                <w:szCs w:val="22"/>
              </w:rPr>
              <w:t>VALOR TOTAL</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10"/>
                <w:sz w:val="22"/>
                <w:szCs w:val="22"/>
              </w:rPr>
              <w:t>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OMEPRAZOL 20MG COMPRIMIDO – APRESENTAÇÃO: BLISTER C/28 CÁPSULAS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460950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cápsula</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2240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R$ 0,14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R$ 313,60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10"/>
                <w:sz w:val="22"/>
                <w:szCs w:val="22"/>
              </w:rPr>
              <w:t>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BUTILBROMETO DE ESCOPOLAMINA 10MG COMPRIMIDO – APRESENTAÇÃO: BLISTER C/ 10 COMPRIMIDOS REVESTIDOS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58"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0" w:hanging="0"/>
              <w:jc w:val="center"/>
              <w:rPr>
                <w:rFonts w:ascii="Calibri Light" w:hAnsi="Calibri Light"/>
                <w:sz w:val="22"/>
                <w:szCs w:val="22"/>
              </w:rPr>
            </w:pPr>
            <w:r>
              <w:rPr>
                <w:rFonts w:ascii="Calibri Light" w:hAnsi="Calibri Light"/>
                <w:spacing w:val="-2"/>
                <w:sz w:val="22"/>
                <w:szCs w:val="22"/>
              </w:rPr>
              <w:t>267283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R$ 5.250,00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10"/>
                <w:sz w:val="22"/>
                <w:szCs w:val="22"/>
              </w:rPr>
              <w:t>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BUTILBROMETO DE ESCOPOLAMINA 20MG AMPOLA – APRESENTAÇÃO: AMPOLA C/ 1ML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267282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Ampola 1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R$ 525,00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1" w:after="0"/>
              <w:ind w:right="0" w:hanging="0"/>
              <w:jc w:val="center"/>
              <w:rPr>
                <w:rFonts w:ascii="Calibri Light" w:hAnsi="Calibri Light"/>
                <w:sz w:val="22"/>
                <w:szCs w:val="22"/>
              </w:rPr>
            </w:pPr>
            <w:r>
              <w:rPr>
                <w:rFonts w:ascii="Calibri Light" w:hAnsi="Calibri Light"/>
                <w:spacing w:val="-10"/>
                <w:sz w:val="22"/>
                <w:szCs w:val="22"/>
              </w:rPr>
              <w:t>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CLORIDRATO DE ONDANSETRONA 8MG COMPRIMIDO – APRESENTAÇÃO: BLISTER C/ 10 COMPRIMIDOS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419015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R$ 1,35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R$ 675,00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10"/>
                <w:sz w:val="22"/>
                <w:szCs w:val="22"/>
              </w:rPr>
              <w:t>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CLORIDRATO DE ONDANSETRONA 2ML, SOLUÇÃO INJETÁVEL – APRESENTAÇÃO: AMPOLA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268504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R$ 1,86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R$ 930,00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10"/>
                <w:sz w:val="22"/>
                <w:szCs w:val="22"/>
              </w:rPr>
              <w:t>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SIMETICONA 40MG COMPRIMIDO – APRESENTAÇÃO: BLISTER C/ 20 COMPRIMIDOS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412963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R$ 5,74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R$ 8.610,00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10"/>
                <w:sz w:val="22"/>
                <w:szCs w:val="22"/>
              </w:rPr>
              <w:t>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SAIS PARA REIDRATAÇÃO ORAL, COMPOSIÇÃO: SÓDIO, POTÁSSIO, CLORETO, CITRATO E GLICOSE</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446105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envelope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R$ 1,17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R$ 585,00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10"/>
                <w:sz w:val="22"/>
                <w:szCs w:val="22"/>
              </w:rPr>
              <w:t>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CLORETO DE SÓDIO SOLUÇÃO FISIOLÓGICA 0,9% - FRASCO C/100ML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448699</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100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R$ 4,19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R$ 2.095,00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10"/>
                <w:sz w:val="22"/>
                <w:szCs w:val="22"/>
              </w:rPr>
              <w:t>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CLORETO DE SÓDIO SOLUÇÃO FISIOLÓGICA 0,9% - FRASCO C/500ML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448699</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500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R$ 10,11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R$ 5.055,00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CLORETO DE SÓDIO CONCENTRAÇAO: 0,9% FORMA FARMACEUTICA: SOLUÇÃO INJETÁVEL</w:t>
              <w:br/>
              <w:t>CARACTERISTICA ADICIONAL: SISTEMA FECHADO CARACTERÍSTICAS ADICIONAIS 1: BOLSA/FRASCO C/250ML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0" w:hanging="0"/>
              <w:jc w:val="center"/>
              <w:rPr>
                <w:rFonts w:ascii="Calibri Light" w:hAnsi="Calibri Light"/>
                <w:sz w:val="22"/>
                <w:szCs w:val="22"/>
              </w:rPr>
            </w:pPr>
            <w:r>
              <w:rPr>
                <w:rFonts w:ascii="Calibri Light" w:hAnsi="Calibri Light"/>
                <w:spacing w:val="-2"/>
                <w:sz w:val="22"/>
                <w:szCs w:val="22"/>
              </w:rPr>
              <w:t>452796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Bolsa 250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R$ 5,58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R$ 2.790,00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RINGER COM LACTATO SOLUÇÃO – APRESENTAÇÃO: FRASCO C/ 500ML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303292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Bolsa 500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R$ 9,11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R$ 4.555,00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RINGER COM LACTATO SOLUÇÃO – APRESENTAÇÃO: FRASCO C/ 250ML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303292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Bolsa 250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R$ 5,79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R$ 2.895,00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EPINEFRINA 1MG/ML SOLUÇÃO INJETÁVEL – APRESENTAÇÃO: AMPOLA C/ 1ML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268255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Ampola 1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R$ 1,50</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R$ 75,00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1" w:after="0"/>
              <w:ind w:right="0" w:hanging="0"/>
              <w:jc w:val="center"/>
              <w:rPr>
                <w:rFonts w:ascii="Calibri Light" w:hAnsi="Calibri Light"/>
                <w:sz w:val="22"/>
                <w:szCs w:val="22"/>
              </w:rPr>
            </w:pPr>
            <w:r>
              <w:rPr>
                <w:rFonts w:ascii="Calibri Light" w:hAnsi="Calibri Light"/>
                <w:spacing w:val="-5"/>
                <w:sz w:val="22"/>
                <w:szCs w:val="22"/>
              </w:rPr>
              <w:t>14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5.000 UI DE PALMITATO DE RETINOL, 900 UI DE COLECALCIFEROL E 150MG DE ÓXIDO DE ZINCO – APRESENTAÇÃO: BISNAGA C/ 90G</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58"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0" w:hanging="0"/>
              <w:jc w:val="center"/>
              <w:rPr>
                <w:rFonts w:ascii="Calibri Light" w:hAnsi="Calibri Light"/>
                <w:sz w:val="22"/>
                <w:szCs w:val="22"/>
              </w:rPr>
            </w:pPr>
            <w:r>
              <w:rPr>
                <w:rFonts w:ascii="Calibri Light" w:hAnsi="Calibri Light"/>
                <w:spacing w:val="-2"/>
                <w:sz w:val="22"/>
                <w:szCs w:val="22"/>
              </w:rPr>
              <w:t>298548</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Bisnaga 90 gramas</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R$ 9,23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R$ 923,00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1" w:after="0"/>
              <w:ind w:right="0" w:hanging="0"/>
              <w:jc w:val="center"/>
              <w:rPr>
                <w:rFonts w:ascii="Calibri Light" w:hAnsi="Calibri Light"/>
                <w:sz w:val="22"/>
                <w:szCs w:val="22"/>
              </w:rPr>
            </w:pPr>
            <w:r>
              <w:rPr>
                <w:rFonts w:ascii="Calibri Light" w:hAnsi="Calibri Light"/>
                <w:spacing w:val="-5"/>
                <w:sz w:val="22"/>
                <w:szCs w:val="22"/>
              </w:rPr>
              <w:t>15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NEOMICINA 5MG + BACITRACINA 250UI</w:t>
              <w:br/>
              <w:t>/G POMADA – APRESENTAÇÃO: BISNAGA C/ 50G</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273167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Bisnaga 10 gramas</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R$ 2,62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R$ 524,00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1" w:after="0"/>
              <w:ind w:right="0" w:hanging="0"/>
              <w:jc w:val="center"/>
              <w:rPr>
                <w:rFonts w:ascii="Calibri Light" w:hAnsi="Calibri Light"/>
                <w:sz w:val="22"/>
                <w:szCs w:val="22"/>
              </w:rPr>
            </w:pPr>
            <w:r>
              <w:rPr>
                <w:rFonts w:ascii="Calibri Light" w:hAnsi="Calibri Light"/>
                <w:spacing w:val="-5"/>
                <w:sz w:val="22"/>
                <w:szCs w:val="22"/>
              </w:rPr>
              <w:t>16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SULFADIAZINA DE PRATA 1% – APRESENTAÇÃO: BISNAGA C/ 30G</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414614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Bisnaga 30 gramas</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R$ 11,31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R$ 2.262,00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BETAMETASONA, COMPOSIÇÃO: DIPROPIONATO, ASSOCIADA AO CETOCONAZOL E NEOMICINA, CONCENTRAÇÃO:0,5 MG/G + 20 MG/G + 1,5 MG/G, FORMA FARMACEUTICA: CREME, BISNAGA C/30G</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39"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0" w:hanging="0"/>
              <w:jc w:val="center"/>
              <w:rPr>
                <w:rFonts w:ascii="Calibri Light" w:hAnsi="Calibri Light"/>
                <w:sz w:val="22"/>
                <w:szCs w:val="22"/>
              </w:rPr>
            </w:pPr>
            <w:r>
              <w:rPr>
                <w:rFonts w:ascii="Calibri Light" w:hAnsi="Calibri Light"/>
                <w:spacing w:val="-2"/>
                <w:sz w:val="22"/>
                <w:szCs w:val="22"/>
              </w:rPr>
              <w:t>449185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Bisnaga 30 gramas</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R$ 5,68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R$ 1.136,00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IVERMECTINA 6MG COMPRIMIDO – APRESENTAÇÃO: CAIXA C/ 2 COMPRIMIDO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376767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320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R$ 0,64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R$ 204,80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1" w:after="0"/>
              <w:ind w:right="0" w:hanging="0"/>
              <w:jc w:val="center"/>
              <w:rPr>
                <w:rFonts w:ascii="Calibri Light" w:hAnsi="Calibri Light"/>
                <w:sz w:val="22"/>
                <w:szCs w:val="22"/>
              </w:rPr>
            </w:pPr>
            <w:r>
              <w:rPr>
                <w:rFonts w:ascii="Calibri Light" w:hAnsi="Calibri Light"/>
                <w:spacing w:val="-5"/>
                <w:sz w:val="22"/>
                <w:szCs w:val="22"/>
              </w:rPr>
              <w:t>19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DEXAMETASONA + SULFATO DE NEOMICINA + SULFATO DE POLIMIXINA B FRASCO – APRESENTAÇÃO: FRASCO C/ 5ML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58"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0" w:hanging="0"/>
              <w:jc w:val="center"/>
              <w:rPr>
                <w:rFonts w:ascii="Calibri Light" w:hAnsi="Calibri Light"/>
                <w:sz w:val="22"/>
                <w:szCs w:val="22"/>
              </w:rPr>
            </w:pPr>
            <w:r>
              <w:rPr>
                <w:rFonts w:ascii="Calibri Light" w:hAnsi="Calibri Light"/>
                <w:spacing w:val="-2"/>
                <w:sz w:val="22"/>
                <w:szCs w:val="22"/>
              </w:rPr>
              <w:t>270230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5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R$ 11,65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R$ 582,50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20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SULFATO DE TOBRAMICINA DE 3MG/ML FRASCO – APRESENTAÇÃO: FRASCO C/ 5ML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271581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Ampola 5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R$ 6,32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R$ 316,00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1" w:after="0"/>
              <w:ind w:right="0" w:hanging="0"/>
              <w:jc w:val="center"/>
              <w:rPr>
                <w:rFonts w:ascii="Calibri Light" w:hAnsi="Calibri Light"/>
                <w:sz w:val="22"/>
                <w:szCs w:val="22"/>
              </w:rPr>
            </w:pPr>
            <w:r>
              <w:rPr>
                <w:rFonts w:ascii="Calibri Light" w:hAnsi="Calibri Light"/>
                <w:spacing w:val="-5"/>
                <w:sz w:val="22"/>
                <w:szCs w:val="22"/>
              </w:rPr>
              <w:t>21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SULFATO DE NEOMICINA 10MG/ML + HIDROCORTISONA 5MG/ML + SULFATO DE POLIMIXINA B 10.000UI/ML – APRESENTAÇÃO: FRASCO C/ 10ML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58"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0" w:hanging="0"/>
              <w:jc w:val="center"/>
              <w:rPr>
                <w:rFonts w:ascii="Calibri Light" w:hAnsi="Calibri Light"/>
                <w:sz w:val="22"/>
                <w:szCs w:val="22"/>
              </w:rPr>
            </w:pPr>
            <w:r>
              <w:rPr>
                <w:rFonts w:ascii="Calibri Light" w:hAnsi="Calibri Light"/>
                <w:spacing w:val="-2"/>
                <w:sz w:val="22"/>
                <w:szCs w:val="22"/>
              </w:rPr>
              <w:t>407460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10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R$ 12,79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R$ 639,50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22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DEXAMETASONA 4MG/ML SOLUÇÃO INJETÁVEL – APRESENTAÇÃO: AMPOLA C/ 2,5ML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292427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Ampola 2,5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R$ 1,49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R$ 2.235,00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23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PREDNISOLONA 20MG COMPRIMIDO – APRESENTAÇÃO: BLISTER C/ 10 COMPRIMIDO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448597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R$ 0,56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R$ 560,00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24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ALBENDAZOL 400MG COMPRIMIDO – APRESENTAÇÃO: BLISTER C/ 1 COMPRIMIDO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267506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R$ 0,62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R$ 248,00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25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CIPROFLOXACINO 500MG COMPRIMIDO – APRESENTAÇÃO: BLISTER C/ 14 COMPRIMIDO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355338</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1400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R$ 0,39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R$ 546,00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26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br/>
              <w:t>SULFAMETOXAZOL 400MG + TRIMETROPIMA 80MG – APRESENTAÇÃO: BLISTER C/ 20 COMPRIMIDO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58"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0" w:hanging="0"/>
              <w:jc w:val="center"/>
              <w:rPr>
                <w:rFonts w:ascii="Calibri Light" w:hAnsi="Calibri Light"/>
                <w:sz w:val="22"/>
                <w:szCs w:val="22"/>
              </w:rPr>
            </w:pPr>
            <w:r>
              <w:rPr>
                <w:rFonts w:ascii="Calibri Light" w:hAnsi="Calibri Light"/>
                <w:spacing w:val="-2"/>
                <w:sz w:val="22"/>
                <w:szCs w:val="22"/>
              </w:rPr>
              <w:t>308882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R$ 0,29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R$ 580,00</w:t>
            </w:r>
          </w:p>
        </w:tc>
      </w:tr>
      <w:tr>
        <w:trPr>
          <w:trHeight w:val="749" w:hRule="atLeast"/>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57" w:after="57"/>
              <w:ind w:right="0" w:hanging="0"/>
              <w:jc w:val="center"/>
              <w:rPr>
                <w:rFonts w:ascii="Calibri Light" w:hAnsi="Calibri Light"/>
                <w:sz w:val="22"/>
                <w:szCs w:val="22"/>
              </w:rPr>
            </w:pPr>
            <w:r>
              <w:rPr>
                <w:rFonts w:ascii="Calibri Light" w:hAnsi="Calibri Light"/>
                <w:spacing w:val="-5"/>
                <w:sz w:val="22"/>
                <w:szCs w:val="22"/>
              </w:rPr>
              <w:t>27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spacing w:before="57" w:after="57"/>
              <w:jc w:val="both"/>
              <w:rPr>
                <w:rFonts w:ascii="Calibri Light" w:hAnsi="Calibri Light"/>
                <w:sz w:val="22"/>
                <w:szCs w:val="22"/>
              </w:rPr>
            </w:pPr>
            <w:r>
              <w:rPr>
                <w:rFonts w:ascii="Calibri Light" w:hAnsi="Calibri Light"/>
                <w:sz w:val="22"/>
                <w:szCs w:val="22"/>
              </w:rPr>
              <w:t>AMOXICILINA 500MG – APRESENTAÇÃO: BLISTER C/ 21 CÁPSULAS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2"/>
                <w:sz w:val="22"/>
                <w:szCs w:val="22"/>
              </w:rPr>
              <w:t>271089</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cápsula</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R$ 0,27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R$ 540,00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8" w:after="0"/>
              <w:ind w:right="0" w:hanging="0"/>
              <w:jc w:val="center"/>
              <w:rPr>
                <w:rFonts w:ascii="Calibri Light" w:hAnsi="Calibri Light"/>
                <w:sz w:val="22"/>
                <w:szCs w:val="22"/>
              </w:rPr>
            </w:pPr>
            <w:r>
              <w:rPr>
                <w:rFonts w:ascii="Calibri Light" w:hAnsi="Calibri Light"/>
                <w:spacing w:val="-5"/>
                <w:sz w:val="22"/>
                <w:szCs w:val="22"/>
              </w:rPr>
              <w:t>28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AMOXICILINA 500MG + CLAVULANATO DE POTÁSSIO 125MG – APRESENTAÇÃO: BLISTER C/ 21 COMPRIMIDOS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271217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2100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R$ 3,22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R$ 6.762,00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29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CEFALEXINA 500MG COMPRIMIDO – APRESENTAÇÃO: BLISTER C/ 10 COMPRIMIDO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267625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R$ 0,57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R$ 114,00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30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AZITROMICINA 500MG COMPRIMIDO – APRESENTAÇÃO: BLISTER C/ 3 COMPRIMIDO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267140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300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R$ 306,00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31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LORATADINA 10MG COMPRIMIDO – APRESENTAÇÃO: BLISTER C/ 12 COMPRIMIDOS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273466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R$ 1,91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R$ 3.820,00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32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PROMETAZINA 25MG SOLUÇÃO INJETÁVEL – APRESENTAÇÃO:</w:t>
              <w:br/>
              <w:t>AMPOLA C/ 2ML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43"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0" w:hanging="0"/>
              <w:jc w:val="center"/>
              <w:rPr>
                <w:rFonts w:ascii="Calibri Light" w:hAnsi="Calibri Light"/>
                <w:sz w:val="22"/>
                <w:szCs w:val="22"/>
              </w:rPr>
            </w:pPr>
            <w:r>
              <w:rPr>
                <w:rFonts w:ascii="Calibri Light" w:hAnsi="Calibri Light"/>
                <w:spacing w:val="-2"/>
                <w:sz w:val="22"/>
                <w:szCs w:val="22"/>
              </w:rPr>
              <w:t>267769</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R$ 2,87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R$ 1.435,00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1" w:after="0"/>
              <w:ind w:right="0" w:hanging="0"/>
              <w:jc w:val="center"/>
              <w:rPr>
                <w:rFonts w:ascii="Calibri Light" w:hAnsi="Calibri Light"/>
                <w:sz w:val="22"/>
                <w:szCs w:val="22"/>
              </w:rPr>
            </w:pPr>
            <w:r>
              <w:rPr>
                <w:rFonts w:ascii="Calibri Light" w:hAnsi="Calibri Light"/>
                <w:spacing w:val="-5"/>
                <w:sz w:val="22"/>
                <w:szCs w:val="22"/>
              </w:rPr>
              <w:t>33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LIDOCAÍNA + EPINEFRINA 2% SOLUÇÃO INJETÁVEL – APRESENTAÇÃO: FRASCO</w:t>
              <w:br/>
              <w:t>/AMPOLA C/ 20ML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269852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Frasco-ampola</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R$ 10,22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R$ 1.022,00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34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LIDOCAÍNA 2% SOLUÇÃO INJETÁVEL – APRESENTAÇÃO: AMPOLA C/ 2 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269843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R$ 2,03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R$ 203,00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35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DIPIRONA 500MG COMPRIMIDO – APRESENTAÇÃO: BLISTER C/ 10 COMPRIMIDOS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267203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3000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R$ 1,89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R$ 5.670,00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8" w:after="0"/>
              <w:ind w:left="0" w:right="0" w:hanging="0"/>
              <w:jc w:val="center"/>
              <w:rPr>
                <w:rFonts w:ascii="Calibri Light" w:hAnsi="Calibri Light"/>
                <w:sz w:val="22"/>
                <w:szCs w:val="22"/>
              </w:rPr>
            </w:pPr>
            <w:r>
              <w:rPr>
                <w:rFonts w:ascii="Calibri Light" w:hAnsi="Calibri Light"/>
                <w:spacing w:val="-5"/>
                <w:sz w:val="22"/>
                <w:szCs w:val="22"/>
              </w:rPr>
              <w:t>36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TRAMADOL 100MG/2ML AMPOLA – APRESENTAÇÃO: AMPOLA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292382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R$ 1,92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R$ 960,00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1" w:after="0"/>
              <w:ind w:right="0" w:hanging="0"/>
              <w:jc w:val="center"/>
              <w:rPr>
                <w:rFonts w:ascii="Calibri Light" w:hAnsi="Calibri Light"/>
                <w:sz w:val="22"/>
                <w:szCs w:val="22"/>
              </w:rPr>
            </w:pPr>
            <w:r>
              <w:rPr>
                <w:rFonts w:ascii="Calibri Light" w:hAnsi="Calibri Light"/>
                <w:spacing w:val="-5"/>
                <w:sz w:val="22"/>
                <w:szCs w:val="22"/>
              </w:rPr>
              <w:t>37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CLORIDRATO DE AMBROXOL XAROPE – APRESENTAÇÃO: FRASCO C/ 120 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446264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120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R$ 5,43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R$ 814,50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38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BROMETO DE IPRATRÓPIO GOTAS – APRESENTAÇÃO: FRASCO C/ 20ML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268331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20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R$ 2,63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R$ 13,15</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39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BROMIDRATO DE FENOTEROL, SOLUÇÃO INALANTE – APRESENTAÇÃO: FRASCO C/ 20ML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396471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20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R$ 4,83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R$ 24,15</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40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DICLOFENACO POTÁSSICO 50MG COMPRIMIDO – APRESENTAÇÃO: BLISTER C/ 20 COMPRIMIDOS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271000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3000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R$ 0,12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R$ 360,00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41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DICLOFENACO POTÁSSICO 75MG/ML SOLUÇÃO INJETÁVEL – APRESENTAÇÃO: AMPOLA C/ 3ML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273137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Ampola 3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R$ 1,20</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R$ 1.800,00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42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CETOPROFENO 100MG SOLUÇÃO INJETÁVEL/ ENDOVENOSA – APRESENTAÇÃO: AMPOLA C/ 2ML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1"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448844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R$ 4,78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R$ 4.780,00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43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ÁCIDO ACETILSALICÍLICO, FORMA FARMACEUTICA: COMPRIMIDO EFERVESCENTE, CONTENDO 10 COMPRIMIDOS SABOR LARANJA, ALTA CONCENTRAÇÃO DE VITAMINA C (1000 MG)</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90"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608134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R$ 0,63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R$ 1.260,00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44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IBUPROFENO, DOSAGEM: 600 MG, APRESENTAÇÃO: CAIXA COM 10 CÁPSULAS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267676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R$ 0,24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R$ 240,00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45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DICLOFENACO , FORMA FARMACÊUTICA: AEROSOL TÓPICO , CONCENTRAÇÃO: 10 MG/G, 2 X 1 ANALGÉSICO E ANTI-INFLAMATÓRIO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58"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0" w:hanging="0"/>
              <w:jc w:val="center"/>
              <w:rPr>
                <w:rFonts w:ascii="Calibri Light" w:hAnsi="Calibri Light"/>
                <w:sz w:val="22"/>
                <w:szCs w:val="22"/>
              </w:rPr>
            </w:pPr>
            <w:r>
              <w:rPr>
                <w:rFonts w:ascii="Calibri Light" w:hAnsi="Calibri Light"/>
                <w:spacing w:val="-2"/>
                <w:sz w:val="22"/>
                <w:szCs w:val="22"/>
              </w:rPr>
              <w:t>448613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85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R$ 18,26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R$ 3.652,00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46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BETAMETASONA COMPOSIÇÃO: DIPROPIONATO APRESENTAÇÃO: ASSOCIADA COM BETAMETASONA FOSFATO DOSAGEM: 5MG + 2MG USO: INJETÁVEL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6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270590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Ampola 1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R$ 5,51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R$ 2.755,00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47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TIOCOLCHICOSÍDEO DOSAGEM: 2 MG</w:t>
              <w:br/>
              <w:t>/ML FORMA FARMACÊUTICA: SOLUÇÃO INJETÁVEL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329359</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R$ 5,82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R$ 2.910,00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48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PARACETAMOL COMPOSIÇÃO: ASSOCIADO À CLORFENIRAMINA E FENILEFRINA CONCENTRAÇÃO: 400 MG</w:t>
              <w:br/>
              <w:t>+ 4 MG + 4 MG</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58"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0" w:hanging="0"/>
              <w:jc w:val="center"/>
              <w:rPr>
                <w:rFonts w:ascii="Calibri Light" w:hAnsi="Calibri Light"/>
                <w:sz w:val="22"/>
                <w:szCs w:val="22"/>
              </w:rPr>
            </w:pPr>
            <w:r>
              <w:rPr>
                <w:rFonts w:ascii="Calibri Light" w:hAnsi="Calibri Light"/>
                <w:spacing w:val="-2"/>
                <w:sz w:val="22"/>
                <w:szCs w:val="22"/>
              </w:rPr>
              <w:t>378572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R$ 0,33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R$ 165,00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49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PROBIÓTICO COMPOSIÇÃO: SACCHAROMYCES</w:t>
              <w:br/>
              <w:t>CEREVISIAE CONCENTRAÇÃO: 100 MILHÕES/ML FORMA FARMACÊUTICA: ORAL, USO ADULTO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6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449026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Flaconete 5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R$ 6,27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R$ 6.270,00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50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PROBIÓTICO COMPOSIÇÃO: SACCHAROMYCES</w:t>
              <w:br/>
              <w:t>CEREVISIAE CONCENTRAÇÃO: 100 MILHÕES/ML FORMA FARMACÊUTICA: ORAL, USO INFANTIL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6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449026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Flaconete 5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R$ 6,27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R$ 6.270,00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51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ACETILCISTEÍNA CONCENTRAÇAO: 40 MG/ML FORMA FARMACEUTICA: XAROPE</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355786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120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R$ 9,39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R$ 2.347,50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52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DEXCLORFENIRAMINA MALEATO, COMPOSIÇÃO:ASSOCIADA À BETAMETASONA, CONCENTRAÇÃO:0,4 MG + 0,05 MG/ML, FORMA FARMACÊUTICA:XAROPE</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6"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393870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120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R$ 2,60</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R$ 650,00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53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ACEBROFILINA CONCENTRAÇÃO: 10 MG</w:t>
              <w:br/>
              <w:t>/ML FORMA FARMACEUTICA: XAROPE</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448839</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120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R$ 12,37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R$ 3.092,50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54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PARACETAMOL APRESENTAÇÃO: ASSOCIADO COM CARBINOXAMINA</w:t>
              <w:br/>
              <w:t>DOSAGEM: 120MG + 2MG/ML USO: SOLUÇÃO ORAL-GOTAS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5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267777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15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R$ 1,72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R$ 344,00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55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PREDNISOLONA CONCENTRAÇÃO: 40 MG FORMA FARMACÊUTICA: COMPRIMIDO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448597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R$ 0,55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R$ 550,00</w:t>
            </w:r>
          </w:p>
        </w:tc>
      </w:tr>
      <w:tr>
        <w:trPr>
          <w:trHeight w:val="700" w:hRule="atLeast"/>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56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RIFAMICINA DOSAGEM: 10 MG/ML INDICAÇÃO: SPRAY C/20ML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2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271140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20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R$ 14,45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R$ 722,50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57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PARACETAMOL 500MG COMPRIMIDO – APRESENTAÇÃO: BLISTER C/ 10 COMPRIMIDOS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378572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3000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R$ 0,58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R$ 1.740,00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58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DIPIRONA 500MG/ML AMPOLA – APRESENTAÇÃO: AMPOLA C/ 2ML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268252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R$ 1,70</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R$ 2.550,00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59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HIDROCORTISONA 500 MG</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342134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Frasco-ampola</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800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R$ 5,94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R$ 4.752,00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60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IBUPROFENO CONCENTRAÇÃO: 200 MG</w:t>
              <w:br/>
              <w:t>/ML FORMA FARMACEUTICA: ORAL GOTAS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267676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R$ 0,24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61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ÁLCOOL ETÍLICO, TIPO: HIDRATADO, TEOR ALCOÓLICO: 70%_(70°GL), APRESENTAÇÃO: LÍQUIDO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269941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1000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R$ 7,81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R$ 781,00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62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ATADURA DE CREPOM, ROLO 0,10 X 3M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460133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Rolo 1,8 metros</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300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R$ 369,00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1" w:after="0"/>
              <w:ind w:right="0" w:hanging="0"/>
              <w:jc w:val="center"/>
              <w:rPr>
                <w:rFonts w:ascii="Calibri Light" w:hAnsi="Calibri Light"/>
                <w:sz w:val="22"/>
                <w:szCs w:val="22"/>
              </w:rPr>
            </w:pPr>
            <w:r>
              <w:rPr>
                <w:rFonts w:ascii="Calibri Light" w:hAnsi="Calibri Light"/>
                <w:spacing w:val="-5"/>
                <w:sz w:val="22"/>
                <w:szCs w:val="22"/>
              </w:rPr>
              <w:t>63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COLETOR PERFUROCORTANTE DE 7L UNIDADE</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435845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R$ 31,46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R$ 629,20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64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COMPRESSA DE GASE 7,5 X 7,5 CM C/ 13 FIOS PACOTE C/ 500</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456561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Pacote 500 und</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60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R$ 48,39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R$ 2.903,40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65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DISPOSITIVO INTRAVENOSO PERIFÉRICO (JELCO) Nº 22 , CAIXA C/100 UNIDADES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76" w:after="0"/>
              <w:ind w:left="14" w:right="0" w:hanging="0"/>
              <w:jc w:val="center"/>
              <w:rPr>
                <w:rFonts w:ascii="Calibri Light" w:hAnsi="Calibri Light"/>
                <w:sz w:val="22"/>
                <w:szCs w:val="22"/>
              </w:rPr>
            </w:pPr>
            <w:r>
              <w:rPr>
                <w:rFonts w:ascii="Calibri Light" w:hAnsi="Calibri Light"/>
                <w:spacing w:val="-2"/>
                <w:sz w:val="22"/>
                <w:szCs w:val="22"/>
              </w:rPr>
              <w:t>438244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R$ 1,78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R$ 1.780,00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66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EQUIPO MACROGOTAS PARA SORO DESCARTÁVEL UNIDADE</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609724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R$ 3,76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R$ 3.760,00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67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ESPARADRAPO ROLO 10CM X 4,5CM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437860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Rolo 4,5 metros</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R$ 8,13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R$ 406,50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68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FITA HOSPITALAR, TIPO:MICROPOROSA, MATERIAL:DORSO EM NÃO TECIDO, COMPONENTES:ADESIVO ACRÍLICO, DIMENSÕES:CERCA DE 25 MM, CARACTERÍSTICAS ADICIONAIS: HIPOALERGÊNICO, COR:TRANSPARENTE</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8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437867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Rolo 4,5 metros</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R$ 4,37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R$ 218,50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69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MÁSCARA DESCARTÁVEL C/ ELÁSTICO PARA CLÍNICO, CAIXA C/ 50</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485312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Caixa c/ 50 und</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R$ 5,23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R$ 2.615,00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70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SERINGA HIPODÉRMICA 10ML, UNIDADE</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439620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1140" w:type="dxa"/>
            <w:tcBorders>
              <w:left w:val="single" w:sz="2" w:space="0" w:color="808080"/>
              <w:bottom w:val="single" w:sz="2" w:space="0" w:color="808080"/>
              <w:right w:val="single" w:sz="6" w:space="0" w:color="808080"/>
            </w:tcBorders>
            <w:vAlign w:val="center"/>
          </w:tcPr>
          <w:p>
            <w:pPr>
              <w:pStyle w:val="Contedodatabela"/>
              <w:widowControl w:val="false"/>
              <w:jc w:val="center"/>
              <w:rPr>
                <w:rFonts w:ascii="Calibri Light" w:hAnsi="Calibri Light"/>
                <w:sz w:val="22"/>
                <w:szCs w:val="22"/>
              </w:rPr>
            </w:pPr>
            <w:r>
              <w:rPr>
                <w:rFonts w:ascii="Calibri Light" w:hAnsi="Calibri Light"/>
                <w:sz w:val="22"/>
                <w:szCs w:val="22"/>
              </w:rPr>
              <w:t>R$ 8,53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R$ 8.530,00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71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SERINGA HIPODÉRMICA 20ML, UNIDADE</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457844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1140" w:type="dxa"/>
            <w:tcBorders>
              <w:top w:val="single" w:sz="2" w:space="0" w:color="000000"/>
              <w:bottom w:val="single" w:sz="2" w:space="0" w:color="000000"/>
            </w:tcBorders>
            <w:tcMar>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R$ 1,15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R$ 1.150,00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72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VENESCALPE DESCARTÁVEL Nº 23, CAIXA C/ 100</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437171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R$ 0,64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R$ 1.280,00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73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SACO PLÁSTICO LIXO, CAPACIDADE: 100 L, COR: BRANCO LEITOSO, CARACTERÍSTICAS ADICIONAIS: COM SIMBOLOGIA DE SUBSTÂNCIA INFECTANTE</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6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412492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Pacote c/ 100und</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30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R$ 72,54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R$ 2.176,20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74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TERMÔMETRO CLÍNICO, AJUSTE: DIGITAL, ESCALA: ATÉ 45 °C, TIPO*: USO AXILAR E ORAL, COMPONENTES: C/ ALARMES, MEMÓRIA: MEMÓRIA ÚLTIMA MEDIÇÃO, EMBALAGEM: EMBALAGEM INDIVIDUAL</w:t>
            </w:r>
          </w:p>
        </w:tc>
        <w:tc>
          <w:tcPr>
            <w:tcW w:w="795" w:type="dxa"/>
            <w:tcBorders>
              <w:bottom w:val="single" w:sz="2" w:space="0" w:color="000000"/>
            </w:tcBorders>
            <w:tcMar>
              <w:top w:w="0" w:type="dxa"/>
              <w:left w:w="0" w:type="dxa"/>
              <w:righ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8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435801</w:t>
            </w:r>
          </w:p>
        </w:tc>
        <w:tc>
          <w:tcPr>
            <w:tcW w:w="1140"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R$ 17,29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R$ 34,58</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75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TERMÔMETRO CLÍNICO, AJUSTE: DIGITAL, INFRAVERMELHO, TIPO*: USO EM TESTA, COMPONENTES: C/ ALARMES, MEDIÇÃO À DISTÂNCIA, MEMÓRIA: MEMÓRIA ATÉ 20 MEDIÇÕES</w:t>
            </w:r>
          </w:p>
        </w:tc>
        <w:tc>
          <w:tcPr>
            <w:tcW w:w="795" w:type="dxa"/>
            <w:tcBorders>
              <w:bottom w:val="single" w:sz="2" w:space="0" w:color="000000"/>
            </w:tcBorders>
            <w:tcMar>
              <w:top w:w="0" w:type="dxa"/>
              <w:left w:w="0" w:type="dxa"/>
              <w:righ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6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474168</w:t>
            </w:r>
          </w:p>
        </w:tc>
        <w:tc>
          <w:tcPr>
            <w:tcW w:w="1140"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R$ 51,94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R$ 103,88</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76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OXÍMETRO USO MÉDICO TIPO: MÃO , FAIXA MEDIÇÃO SATURAÇÃO 1: 0 A 100% , FAIXA MEDIÇÃO PULSO 1: CERCA DE 20 A 250 BPM, AUTONOMIA SISTEMA 1: CERCA 16 H, ALIMENTAÇÃO: PILHA , ACESSÓRIOS: C/ SENSOR , CARACTERÍSTICAS ADICIONAIS 1: C/ BOLSA</w:t>
            </w:r>
          </w:p>
        </w:tc>
        <w:tc>
          <w:tcPr>
            <w:tcW w:w="795" w:type="dxa"/>
            <w:tcBorders>
              <w:bottom w:val="single" w:sz="2" w:space="0" w:color="000000"/>
            </w:tcBorders>
            <w:tcMar>
              <w:top w:w="0" w:type="dxa"/>
              <w:left w:w="0" w:type="dxa"/>
              <w:righ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441984</w:t>
            </w:r>
          </w:p>
        </w:tc>
        <w:tc>
          <w:tcPr>
            <w:tcW w:w="1140"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R$ 620,92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R$ 1.241,84</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77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ESFIGMOMANÔMETRO, AJUSTE: DIGITAL, TIPO*: DE BRAÇO, FAIXA DE OPERAÇÃO: ATÉ 300 MMHG, MATERIAL BRAÇADEIRA: BRAÇADEIRA EM NYLON, TIPO FECHO: FECHO EM VELCRO, TAMANHO: ADULTO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8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436498</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R$ 126,94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R$ 253,88</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78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ESTETOSCÓPIO, TIPO: BIAURICULAR, APRESENTAÇÃO: EM PLÁSTICO, CARACTERÍSTICAS ADICIONAIS*: COMPATÍVEL C/ AMBIENTE RESSONÂNCIA MAGNÉTICA – MRI, TAMANHO: ADULTO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8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465738</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R$ 38,23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R$ 76,46</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79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MONITOR PORTÁTIL, OPERAÇÃO: DIGITAL, TIPO AMOSTRA: SANGUE CAPILAR, TIPO DE ANÁLISE: QUANTITATIVO HEMOGLOBINA TOTAL E ATIVIDADE G6PD, FAIXA DE OPERAÇÃO: ATÉ 30 G/DL E ATÉ 20 U/G HB, TEMPO RESPOSTA: ATÉ 2 MIN</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9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609957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R$ 60,32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R$ 120,64</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80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REAGENTE PARA DIAGNÓSTICO CLÍNICO 5, TIPO DE ANÁLISE: QUANTITATIVO DE GLICOSE, CARACTERÍSTICAS ADICIONAIS: CAPILAR, APRESENTAÇÃO: TIRA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6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339565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R$ 68,26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R$ 136,52</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81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DISPOSITIVO INTRAVENOSO PERIFÉRICO (JELCO) Nº 24 , CAIXA C/100 UNIDADES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438243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R$ 0,64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R$ 1.280,00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82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COMPRESSA GAZE, MATERIAL: 100% ALGODÃO, DIMENSÕES: CERCA DE 7,5 X 7,5 CM, GRAMATURA: 13 FIOS/ CM2, ADICIONAL: 5 DOBRAS, ESTERILIDADE*: ESTÉRIL, USO ÚNICO, EMBALAGEM: EMBALAGEM INDIVIDUAL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8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615986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Pct 5 Und</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R$ 0,85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R$ 425,00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83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ABRIDOR DE BOCA, AUTOCLAVÁVEL ADULTO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417616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R$ 7,63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R$ 381,50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84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AGULHA GENGIVAL DESCARTÁVEL, CURTA, 30G</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442145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Caixa c/ 100 Und</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R$ 34,99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R$ 349,90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85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AGULHA GENGIVAL DESCARTÁVEL LONGA, 27G</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3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443788</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Caixa c/ 100 Und</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R$ 35,64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R$ 356,40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86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APLICADOR DESCARTÁVEL BRUSH, TAMANHO REGULAR</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410557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Caixa c/ 100 Und</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R$ 12,39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R$ 61,95</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87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ARCO DE OSTBY PLÁSTICO E AUTOCLAVÁVEL, ADULTO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33"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308236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30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R$ 7,80</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R$ 234,00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88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CARBIDE ALTA ROTAÇÃO, ESFÉRICA, Nº 6</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403176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R$ 4,80</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R$ 192,00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89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CARBIDE ALTA ROTAÇÃO, ESFÉRICA, Nº 8</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436293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R$ 5,86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R$ 234,40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90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DE AÇO, BAIXA ROTAÇÃO, Nº 2, PARA CONTRA-ÂNGULO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403436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R$ 4,19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R$ 167,60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91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DE AÇO, BAIXA ROTAÇÃO, Nº 4, PARA CONTRA-ÂNGULO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403862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R$ 4,15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R$ 166,00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92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DE AÇO, BAIXA ROTAÇÃO, Nº 6, PARA CONTRA-ÂNGULO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403440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R$ 4,49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R$ 179,60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93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DE LARGO, BAIXA ROTAÇÃO NR 1, DE 28 MM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403915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R$ 7,46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R$ 298,40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94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DE LARGO,</w:t>
              <w:br/>
              <w:t>BAIXA ROTAÇÃO NR 1, DE 32 MM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28"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403921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R$ 7,93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R$ 317,20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95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DE LARGO, BAIXA ROTAÇÃO NR 2, DE 28 MM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403921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R$ 6,47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R$ 258,80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96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DE LARGO, NR 2, DE 32 MM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403922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R$ 7,05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R$ 282,00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97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1012, ESFÉRICA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402945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R$ 2,85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R$ 114,00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98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1012 HL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403372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R$ 2,65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R$ 106,00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99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1014, ESFÉRICA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402947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R$ 2,74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R$ 109,60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100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1014 HL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403373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R$ 3,01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R$ 120,40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101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1015, ESFÉRICA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402948</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R$ 2,95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R$ 118,00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8" w:after="0"/>
              <w:ind w:right="0" w:hanging="0"/>
              <w:jc w:val="center"/>
              <w:rPr>
                <w:rFonts w:ascii="Calibri Light" w:hAnsi="Calibri Light"/>
                <w:sz w:val="22"/>
                <w:szCs w:val="22"/>
              </w:rPr>
            </w:pPr>
            <w:r>
              <w:rPr>
                <w:rFonts w:ascii="Calibri Light" w:hAnsi="Calibri Light"/>
                <w:spacing w:val="-5"/>
                <w:sz w:val="22"/>
                <w:szCs w:val="22"/>
              </w:rPr>
              <w:t>102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1016, ESFÉRICA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402949</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R$ 2,59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R$ 103,60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103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1016 HL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8" w:after="0"/>
              <w:ind w:left="14" w:right="0" w:hanging="0"/>
              <w:jc w:val="center"/>
              <w:rPr>
                <w:rFonts w:ascii="Calibri Light" w:hAnsi="Calibri Light"/>
                <w:sz w:val="22"/>
                <w:szCs w:val="22"/>
              </w:rPr>
            </w:pPr>
            <w:r>
              <w:rPr>
                <w:rFonts w:ascii="Calibri Light" w:hAnsi="Calibri Light"/>
                <w:spacing w:val="-2"/>
                <w:sz w:val="22"/>
                <w:szCs w:val="22"/>
              </w:rPr>
              <w:t>403374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R$ 2,57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R$ 102,80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104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1093F</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403141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R$ 2,49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R$ 99,60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105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1093FF</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403142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R$ 2,39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R$ 95,60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106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4083</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416822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R$ 2,29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R$ 91,60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107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4138</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403744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R$ 2,38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R$ 95,20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108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4138F</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403745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R$ 2,46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R$ 98,40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109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4138FF</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437784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R$ 2,42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R$ 96,80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110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GATES-GLINDDEN, Nº 1, DE 28 MM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403602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R$ 22,55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R$ 902,00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111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GATES-GLINDDEN, Nº 1, DE 32 MM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403609</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R$ 9,48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R$ 379,20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112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GATES-GLINDDEN, Nº 2, DE 28 MM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403603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R$ 10,93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R$ 437,20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113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GATES-GLINDDEN, Nº 2, DE 32 MM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403610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R$ 22,96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R$ 918,40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114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ENDO-Z, 21 MM, PARA ALTA ROTAÇÃO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439276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R$ 17,40</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R$ 696,00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115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ENDO-Z, 25 MM, PARA ALTA ROTAÇÃO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439276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R$ 20,14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R$ 805,60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116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TRANSMETAL, 19 MM, CILINDRICA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414854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R$ 13,17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R$ 526,80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117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TRANSMETAL, 25 MM, CILINDRICA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414853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R$ 9,31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R$ 372,40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118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2200</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439914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R$ 3,57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R$ 142,80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119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3118</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403093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R$ 2,48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R$ 99,20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120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3118F</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8" w:after="0"/>
              <w:ind w:left="14" w:right="0" w:hanging="0"/>
              <w:jc w:val="center"/>
              <w:rPr>
                <w:rFonts w:ascii="Calibri Light" w:hAnsi="Calibri Light"/>
                <w:sz w:val="22"/>
                <w:szCs w:val="22"/>
              </w:rPr>
            </w:pPr>
            <w:r>
              <w:rPr>
                <w:rFonts w:ascii="Calibri Light" w:hAnsi="Calibri Light"/>
                <w:spacing w:val="-2"/>
                <w:sz w:val="22"/>
                <w:szCs w:val="22"/>
              </w:rPr>
              <w:t>403150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R$ 2,64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R$ 105,60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121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3118FF</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403151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R$ 2,58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R$ 103,20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122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3195</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402982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R$ 2,47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R$ 98,80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jc w:val="center"/>
              <w:rPr>
                <w:rFonts w:ascii="Calibri Light" w:hAnsi="Calibri Light"/>
                <w:sz w:val="22"/>
                <w:szCs w:val="22"/>
              </w:rPr>
            </w:pPr>
            <w:r>
              <w:rPr>
                <w:rFonts w:ascii="Calibri Light" w:hAnsi="Calibri Light"/>
                <w:spacing w:val="-5"/>
                <w:sz w:val="22"/>
                <w:szCs w:val="22"/>
              </w:rPr>
              <w:t>123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CLOREXIDINA ANTISSÉPTICO 0,12% COM</w:t>
              <w:br/>
              <w:t>1.000 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341174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1000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R$ 23,66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R$ 118,30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125" w:after="0"/>
              <w:ind w:right="0" w:hanging="0"/>
              <w:jc w:val="center"/>
              <w:rPr>
                <w:rFonts w:ascii="Calibri Light" w:hAnsi="Calibri Light"/>
                <w:sz w:val="22"/>
                <w:szCs w:val="22"/>
              </w:rPr>
            </w:pPr>
            <w:r>
              <w:rPr>
                <w:rFonts w:ascii="Calibri Light" w:hAnsi="Calibri Light"/>
                <w:spacing w:val="-5"/>
                <w:sz w:val="22"/>
                <w:szCs w:val="22"/>
              </w:rPr>
              <w:t>124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CLOREXIDINA A 2%, SOLUÇÃO DEGERMANTE</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269876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1000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R$ 24,58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R$ 122,90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125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CONDICIONADOR ACIDO GEL (ÁCIDO FOSFÓRICO 37%), 2,5 ML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391582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Seringa 2,5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R$ 4,37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R$ 43,70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126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COPO DAPPEN DE VIDRO, DIVERSAS CORES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411437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R$ 4,94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R$ 98,80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127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DESINFETANTE QUÍMICO A BASE DE ÁCIDO PERACÉTICO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348040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Litro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R$ 85,96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R$ 859,60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128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DISCO DE LIXA FLEXÍVEL DE POLIÉSTER COM VÁRIAS GRANULAÇÕES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438118</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30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R$ 95,69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R$ 2.870,70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129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DISCO DE LIXA PARA ACABAMENTO E POLIMENTO DE RESTAURAÇÃO EM RESINA COMPOSTA (TIPO SOFLEX POP- ON)</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58"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42" w:hanging="0"/>
              <w:jc w:val="center"/>
              <w:rPr>
                <w:rFonts w:ascii="Calibri Light" w:hAnsi="Calibri Light"/>
                <w:sz w:val="22"/>
                <w:szCs w:val="22"/>
              </w:rPr>
            </w:pPr>
            <w:r>
              <w:rPr>
                <w:rFonts w:ascii="Calibri Light" w:hAnsi="Calibri Light"/>
                <w:spacing w:val="-2"/>
                <w:sz w:val="22"/>
                <w:szCs w:val="22"/>
              </w:rPr>
              <w:t>439767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30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R$ 164,61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R$ 4.938,30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130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EDTA (QUELANTE) CONCENTRAÇÃO: 20% , ASPECTO FÍSICO: LÍQUIDO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432427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20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R$ 5,92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R$ 29,60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131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ESCOVA DE ROBINSON CÔNICA PRETA OU BRANCA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404892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R$ 2,09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R$ 209,00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132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FIO DENTAL 100 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407293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Rolo 100 m</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R$ 6,03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R$ 1.206,00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133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FLÚOR EM GEL (FLUORETO DE SÓDIO 1,23%)</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428102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500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R$ 5,71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R$ 57,10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134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ESCOVA DE ROBINSON RETA PRETA OU BRANCA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404894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R$ 2,07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R$ 207,00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135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FORMOCRESOL COMPOSIÇÃO: FORMALDEÍDO + ORTO-CRESOL , CONCENTRAÇÃO: 19% + 35% APROXIMADAMENTE , VEÍCULO: EM SOLUÇÃO GLICERINADA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8" w:after="0"/>
              <w:ind w:left="14" w:right="42" w:hanging="0"/>
              <w:jc w:val="center"/>
              <w:rPr>
                <w:rFonts w:ascii="Calibri Light" w:hAnsi="Calibri Light"/>
                <w:sz w:val="22"/>
                <w:szCs w:val="22"/>
              </w:rPr>
            </w:pPr>
            <w:r>
              <w:rPr>
                <w:rFonts w:ascii="Calibri Light" w:hAnsi="Calibri Light"/>
                <w:spacing w:val="-2"/>
                <w:sz w:val="22"/>
                <w:szCs w:val="22"/>
              </w:rPr>
              <w:t>374821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R$ 6,45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R$ 129,00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136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GRAMPO PARA ISOLAMENTO ABSOLUTO, Nº 202</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246021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R$ 9,08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R$ 90,80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137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GRAMPO PARA ISOLAMENTO ABSOLUTO, Nº 205</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247808</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R$ 13,49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R$ 134,90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138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GRAMPO PARA ISOLAMENTO ABSOLUTO, Nº 209</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266931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R$ 11,70</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R$ 117,00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139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GRAMPO PARA ISOLAMENTO ABSOLUTO, Nº 210</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247813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R$ 12,04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R$ 120,40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140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HIPOCLORITO DE SÓDIO 2,5% (SODA CLORADA)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437156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Litro</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R$ 12,04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R$ 180,60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141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MATRIZ DE AÇO INOX 0,05 X 5 MM X 50 CM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406145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R$ 1,68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R$ 33,60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142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MATRIZ DE INOX 0,05 X 7 MM X AÇO 50 CM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406146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R$ 1,79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R$ 35,80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143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MATRIZ METÁLICA PARA MOLARES</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427069</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Embalagem c/20 und</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R$ 96,83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R$ 1.936,60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144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ÓLEO DE TURBINA PARA ALTA E BAIXA ROTAÇÃO EM SPRAY</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246952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200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R$ 27,49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R$ 274,90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145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PARAMONOCLOROFENOL CANFORADO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429902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20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R$ 8,93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R$ 178,60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192" w:after="0"/>
              <w:ind w:right="0" w:hanging="0"/>
              <w:jc w:val="center"/>
              <w:rPr>
                <w:rFonts w:ascii="Calibri Light" w:hAnsi="Calibri Light"/>
                <w:sz w:val="22"/>
                <w:szCs w:val="22"/>
              </w:rPr>
            </w:pPr>
            <w:r>
              <w:rPr>
                <w:rFonts w:ascii="Calibri Light" w:hAnsi="Calibri Light"/>
                <w:spacing w:val="-5"/>
                <w:sz w:val="22"/>
                <w:szCs w:val="22"/>
              </w:rPr>
              <w:t>146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PASTA DIAMANTADA PARA ACABAMENTO E POLIMENTO EM RESINAS COMPOSTAS E ACRÍLICAS, GRANA “1“</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58"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42" w:hanging="0"/>
              <w:jc w:val="center"/>
              <w:rPr>
                <w:rFonts w:ascii="Calibri Light" w:hAnsi="Calibri Light"/>
                <w:sz w:val="22"/>
                <w:szCs w:val="22"/>
              </w:rPr>
            </w:pPr>
            <w:r>
              <w:rPr>
                <w:rFonts w:ascii="Calibri Light" w:hAnsi="Calibri Light"/>
                <w:spacing w:val="-2"/>
                <w:sz w:val="22"/>
                <w:szCs w:val="22"/>
              </w:rPr>
              <w:t>605414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Bisnaga 2 gramas</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R$ 11,29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R$ 225,80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147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PASTA PROFILÁTICA COM FLÚOR</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229104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R$ 13,58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R$ 271,60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148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PEDRA POMES, PO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233497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100 gramas</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R$ 5,62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R$ 56,20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149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KIT DE PONTAS ABRASIVAS SILICONIZADAS PARA CONTRA-ÂNGULO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427266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R$ 71,45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R$ 714,50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150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KIT DE ACESSÓRIO DE POSICIONADOR RADIOGRÁFICO AUTOCLAVÁVEL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427348</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R$ 161,51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R$ 807,55</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151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A1</w:t>
              <w:br/>
              <w:t>NANOHIBRIDA.</w:t>
              <w:br/>
              <w:t>ASPECTO FÍSICO: FLUIDA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2"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444049</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R$ 139,02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R$ 695,10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152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A2</w:t>
              <w:br/>
              <w:t>NANOHIBRIDA.</w:t>
              <w:br/>
              <w:t>ASPECTO FÍSICO: FLUIDA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65"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444049</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R$ 139,02</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R$ 695,10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spacing w:before="8" w:after="0"/>
              <w:ind w:left="21" w:right="0" w:hanging="0"/>
              <w:jc w:val="center"/>
              <w:rPr>
                <w:rFonts w:ascii="Calibri Light" w:hAnsi="Calibri Light"/>
                <w:sz w:val="22"/>
                <w:szCs w:val="22"/>
              </w:rPr>
            </w:pPr>
            <w:r>
              <w:rPr>
                <w:rFonts w:ascii="Calibri Light" w:hAnsi="Calibri Light"/>
                <w:spacing w:val="-5"/>
                <w:sz w:val="22"/>
                <w:szCs w:val="22"/>
              </w:rPr>
              <w:t>153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A3</w:t>
              <w:br/>
              <w:t>NANOHIBRIDA.</w:t>
              <w:br/>
              <w:t>ASPECTO FÍSICO: PASTOSA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65"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407163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R$ 104,51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R$ 1.045,10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154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A3,5, NANOHIBRIDA.</w:t>
              <w:br/>
              <w:t>ASPECTO FÍSICO: PASTOSA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71"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447968</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R$ 68,35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R$ 683,50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155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B2, NANOHIBRIDA.</w:t>
              <w:br/>
              <w:t>ASPECTO FÍSICO: PASTOSA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71"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407163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R$ 104,54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R$ 522,70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156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C2, NANOHIBRIDA.</w:t>
              <w:br/>
              <w:t>ASPECTO FÍSICO: PASTOSA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71"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407163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R$ 104,51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R$ 209,02</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157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INCISAL, NANOHIBRIDA</w:t>
              <w:br/>
              <w:t>ASPECTO FÍSICO: PASTOSA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68"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42" w:hanging="0"/>
              <w:jc w:val="center"/>
              <w:rPr>
                <w:rFonts w:ascii="Calibri Light" w:hAnsi="Calibri Light"/>
                <w:sz w:val="22"/>
                <w:szCs w:val="22"/>
              </w:rPr>
            </w:pPr>
            <w:r>
              <w:rPr>
                <w:rFonts w:ascii="Calibri Light" w:hAnsi="Calibri Light"/>
                <w:spacing w:val="-2"/>
                <w:sz w:val="22"/>
                <w:szCs w:val="22"/>
              </w:rPr>
              <w:t>447968</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R$ 68,36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R$ 683,60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158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RESTAURADOR PROVISÓRIO, TIPO CIMPAT, COLTOSOL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404548</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R$ 458,76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R$ 2.293,80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159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SISTEMA DE ADESIVO COM NANOTECNOLOGIA E SOLVENTE A BASE DE ÁGUA E ÁLCOOL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98" w:after="0"/>
              <w:ind w:left="14" w:right="0" w:hanging="0"/>
              <w:jc w:val="center"/>
              <w:rPr>
                <w:rFonts w:ascii="Calibri Light" w:hAnsi="Calibri Light"/>
                <w:sz w:val="22"/>
                <w:szCs w:val="22"/>
              </w:rPr>
            </w:pPr>
            <w:r>
              <w:rPr>
                <w:rFonts w:ascii="Calibri Light" w:hAnsi="Calibri Light"/>
                <w:spacing w:val="-2"/>
                <w:sz w:val="22"/>
                <w:szCs w:val="22"/>
              </w:rPr>
              <w:t>427265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R$ 41,77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R$ 417,70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160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SOLUÇÃO HEMOSTÁTICA (HEMOSTOP OU SIMILAR)</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422554</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Frasco 10 ml</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R$ 15,50</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R$ 155,00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161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SUGADOR DE SALIVA DESCARTÁVEL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406292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R$ 8,83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R$ 8.830,00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162</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TIRA DE LIXA DE AÇO 6 M</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8"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406289</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R$ 6,81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R$ 681,00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163</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TIRA DE LIXA DE POLIÉSTER DE 4 MM PARA DESBASTE E ACABAMENTO DE RESTAURAÇÃO EM RESINA COMPOSTA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423570</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R$ 6,76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R$ 676,00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164</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CIMENTO IONÔMERO DE VIDRO PARA FORRAMENTO (AUTO POLIMERIZÁVEL) AUTO OU F</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436843</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R$ 121,76</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R$ 608,80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165</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CIMENTO IONÔMERO DE VIDRO PARA CIMENTAÇÃO (AUTO OU FOTOPOLIMERIZÁVEL)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42" w:hanging="0"/>
              <w:jc w:val="center"/>
              <w:rPr>
                <w:rFonts w:ascii="Calibri Light" w:hAnsi="Calibri Light"/>
                <w:sz w:val="22"/>
                <w:szCs w:val="22"/>
              </w:rPr>
            </w:pPr>
            <w:r>
              <w:rPr>
                <w:rFonts w:ascii="Calibri Light" w:hAnsi="Calibri Light"/>
                <w:spacing w:val="-2"/>
                <w:sz w:val="22"/>
                <w:szCs w:val="22"/>
              </w:rPr>
              <w:t>404575</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R$ 50,05</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R$ 500,50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166</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CIMENTO RESINOSO AUTOADESIVO DUAL, COR A2</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432767</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R$ 149,08</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R$ 2.981,60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167</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KIT DE ACABAMENTO E POLIMENTO DE RESINA COMPOSTA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439281</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R$ 80,91</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R$ 809,10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168</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SOLVENTE DE GUTA PERCHA A BASE DE ÓLEO DE LARANJA</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spacing w:before="134"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429899</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15</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R$ 16,09</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R$ 241,35</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169</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MOLDEIRA ODONTOLÓGICA MATERIAL: CERA C/ ESPUMA DE POLIURETANO TIPO: P/ APLICAÇÃO DE FLÚOR MODELO: SIMPLES TIPO USO: DESCARTÁVEL</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43" w:after="0"/>
              <w:rPr>
                <w:rFonts w:ascii="Calibri Light" w:hAnsi="Calibri Light"/>
                <w:sz w:val="22"/>
                <w:szCs w:val="22"/>
              </w:rPr>
            </w:pPr>
            <w:r>
              <w:rPr>
                <w:rFonts w:ascii="Calibri Light" w:hAnsi="Calibri Light"/>
                <w:sz w:val="22"/>
                <w:szCs w:val="22"/>
              </w:rPr>
            </w:r>
          </w:p>
          <w:p>
            <w:pPr>
              <w:pStyle w:val="TableParagraph"/>
              <w:widowControl w:val="false"/>
              <w:ind w:left="14" w:right="0" w:hanging="0"/>
              <w:jc w:val="center"/>
              <w:rPr>
                <w:rFonts w:ascii="Calibri Light" w:hAnsi="Calibri Light"/>
                <w:sz w:val="22"/>
                <w:szCs w:val="22"/>
              </w:rPr>
            </w:pPr>
            <w:r>
              <w:rPr>
                <w:rFonts w:ascii="Calibri Light" w:hAnsi="Calibri Light"/>
                <w:spacing w:val="-2"/>
                <w:sz w:val="22"/>
                <w:szCs w:val="22"/>
              </w:rPr>
              <w:t>428182</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250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R$ 34,33</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R$ 8.582,50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170</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INDICADOR BIOLÓGICO TIPO: SEGUNDA GERAÇÃO APRESENTAÇÃO: AUTOCONTIDO, AMPOLA COM MEIO DE CULTURA ESPÉCIE: BACILLUS STEAROTHERMOPHILLUS CARACTERÍSTICAS ADICIONAIS: RESPOSTA EM 24 HORAS APLICAÇÃO: PARA ESTERILIZAÇÃO A VAPOR</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183"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42" w:hanging="0"/>
              <w:jc w:val="center"/>
              <w:rPr>
                <w:rFonts w:ascii="Calibri Light" w:hAnsi="Calibri Light"/>
                <w:sz w:val="22"/>
                <w:szCs w:val="22"/>
              </w:rPr>
            </w:pPr>
            <w:r>
              <w:rPr>
                <w:rFonts w:ascii="Calibri Light" w:hAnsi="Calibri Light"/>
                <w:spacing w:val="-2"/>
                <w:sz w:val="22"/>
                <w:szCs w:val="22"/>
              </w:rPr>
              <w:t>436058</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R$ 43,64</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R$ 2.182,00</w:t>
            </w:r>
          </w:p>
        </w:tc>
      </w:tr>
      <w:tr>
        <w:trPr/>
        <w:tc>
          <w:tcPr>
            <w:tcW w:w="570" w:type="dxa"/>
            <w:tcBorders>
              <w:left w:val="single" w:sz="2" w:space="0" w:color="000000"/>
              <w:bottom w:val="single" w:sz="2" w:space="0" w:color="000000"/>
              <w:right w:val="single" w:sz="2" w:space="0" w:color="000000"/>
            </w:tcBorders>
            <w:tcMar>
              <w:top w:w="0" w:type="dxa"/>
            </w:tcMar>
            <w:vAlign w:val="center"/>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171</w:t>
            </w:r>
          </w:p>
        </w:tc>
        <w:tc>
          <w:tcPr>
            <w:tcW w:w="4245" w:type="dxa"/>
            <w:tcBorders>
              <w:bottom w:val="single" w:sz="2" w:space="0" w:color="000000"/>
              <w:right w:val="single" w:sz="2" w:space="0" w:color="000000"/>
            </w:tcBorders>
            <w:tcMar>
              <w:top w:w="0" w:type="dxa"/>
              <w:left w:w="0" w:type="dxa"/>
            </w:tcMar>
            <w:vAlign w:val="center"/>
          </w:tcPr>
          <w:p>
            <w:pPr>
              <w:pStyle w:val="Contedodatabela"/>
              <w:widowControl w:val="false"/>
              <w:jc w:val="both"/>
              <w:rPr>
                <w:rFonts w:ascii="Calibri Light" w:hAnsi="Calibri Light"/>
                <w:sz w:val="22"/>
                <w:szCs w:val="22"/>
              </w:rPr>
            </w:pPr>
            <w:r>
              <w:rPr>
                <w:rFonts w:ascii="Calibri Light" w:hAnsi="Calibri Light"/>
                <w:sz w:val="22"/>
                <w:szCs w:val="22"/>
              </w:rPr>
              <w:t>INDICADOR QUÍMICO CLASSE: CLASSE I TIPO USO: EXTERNO APRESENTAÇÃO: ETIQUETA DUPLA CAMADA ADESIVA CARACTERÍSTICAS ADICIONAIS: PARA ESTERILIZAÇÃO A VAPOR COMPOSIÇÃO: PAPEL CREPADO, TINTA TERMO-REATIVA, ADESIVO SENSÍVEL A PRESSÃO.</w:t>
            </w:r>
          </w:p>
        </w:tc>
        <w:tc>
          <w:tcPr>
            <w:tcW w:w="795" w:type="dxa"/>
            <w:tcBorders>
              <w:bottom w:val="single" w:sz="2" w:space="0" w:color="000000"/>
              <w:right w:val="single" w:sz="2" w:space="0" w:color="000000"/>
            </w:tcBorders>
            <w:tcMar>
              <w:top w:w="0" w:type="dxa"/>
              <w:left w:w="0" w:type="dxa"/>
            </w:tcMar>
            <w:vAlign w:val="center"/>
          </w:tcPr>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rPr>
                <w:rFonts w:ascii="Calibri Light" w:hAnsi="Calibri Light"/>
                <w:sz w:val="22"/>
                <w:szCs w:val="22"/>
              </w:rPr>
            </w:pPr>
            <w:r>
              <w:rPr>
                <w:rFonts w:ascii="Calibri Light" w:hAnsi="Calibri Light"/>
                <w:sz w:val="22"/>
                <w:szCs w:val="22"/>
              </w:rPr>
            </w:r>
          </w:p>
          <w:p>
            <w:pPr>
              <w:pStyle w:val="TableParagraph"/>
              <w:widowControl w:val="false"/>
              <w:spacing w:before="36" w:after="0"/>
              <w:rPr>
                <w:rFonts w:ascii="Calibri Light" w:hAnsi="Calibri Light"/>
                <w:sz w:val="22"/>
                <w:szCs w:val="22"/>
              </w:rPr>
            </w:pPr>
            <w:r>
              <w:rPr>
                <w:rFonts w:ascii="Calibri Light" w:hAnsi="Calibri Light"/>
                <w:sz w:val="22"/>
                <w:szCs w:val="22"/>
              </w:rPr>
            </w:r>
          </w:p>
          <w:p>
            <w:pPr>
              <w:pStyle w:val="TableParagraph"/>
              <w:widowControl w:val="false"/>
              <w:spacing w:before="1" w:after="0"/>
              <w:ind w:left="14" w:right="0" w:hanging="0"/>
              <w:jc w:val="center"/>
              <w:rPr>
                <w:rFonts w:ascii="Calibri Light" w:hAnsi="Calibri Light"/>
                <w:sz w:val="22"/>
                <w:szCs w:val="22"/>
              </w:rPr>
            </w:pPr>
            <w:r>
              <w:rPr>
                <w:rFonts w:ascii="Calibri Light" w:hAnsi="Calibri Light"/>
                <w:spacing w:val="-2"/>
                <w:sz w:val="22"/>
                <w:szCs w:val="22"/>
              </w:rPr>
              <w:t>484666</w:t>
            </w:r>
          </w:p>
        </w:tc>
        <w:tc>
          <w:tcPr>
            <w:tcW w:w="114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900"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1140" w:type="dxa"/>
            <w:tcBorders>
              <w:bottom w:val="single" w:sz="2" w:space="0" w:color="000000"/>
            </w:tcBorders>
            <w:tcMar>
              <w:top w:w="0" w:type="dxa"/>
              <w:left w:w="0" w:type="dxa"/>
              <w:righ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R$ 38,87</w:t>
            </w:r>
          </w:p>
        </w:tc>
        <w:tc>
          <w:tcPr>
            <w:tcW w:w="1394"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R$ 1.943,50</w:t>
            </w:r>
          </w:p>
        </w:tc>
      </w:tr>
      <w:tr>
        <w:trPr/>
        <w:tc>
          <w:tcPr>
            <w:tcW w:w="8790" w:type="dxa"/>
            <w:gridSpan w:val="6"/>
            <w:tcBorders>
              <w:left w:val="single" w:sz="2" w:space="0" w:color="000000"/>
              <w:bottom w:val="single" w:sz="2" w:space="0" w:color="000000"/>
              <w:right w:val="single" w:sz="2" w:space="0" w:color="000000"/>
            </w:tcBorders>
            <w:tcMar>
              <w:top w:w="0" w:type="dxa"/>
            </w:tcMar>
            <w:vAlign w:val="center"/>
          </w:tcPr>
          <w:p>
            <w:pPr>
              <w:pStyle w:val="Contedodatabela"/>
              <w:widowControl w:val="false"/>
              <w:spacing w:before="0" w:after="55"/>
              <w:jc w:val="center"/>
              <w:rPr>
                <w:rFonts w:ascii="Calibri Light" w:hAnsi="Calibri Light"/>
                <w:b/>
                <w:bCs/>
                <w:i w:val="false"/>
                <w:i w:val="false"/>
                <w:iCs w:val="false"/>
                <w:color w:val="000000"/>
                <w:sz w:val="22"/>
                <w:szCs w:val="22"/>
                <w:shd w:fill="FFFFFF" w:val="clear"/>
              </w:rPr>
            </w:pPr>
            <w:r>
              <w:rPr>
                <w:rFonts w:ascii="Calibri Light" w:hAnsi="Calibri Light"/>
                <w:b/>
                <w:bCs/>
                <w:i w:val="false"/>
                <w:iCs w:val="false"/>
                <w:color w:val="000000"/>
                <w:sz w:val="22"/>
                <w:szCs w:val="22"/>
                <w:shd w:fill="FFFFFF" w:val="clear"/>
              </w:rPr>
            </w:r>
          </w:p>
          <w:p>
            <w:pPr>
              <w:pStyle w:val="Contedodatabela"/>
              <w:widowControl w:val="false"/>
              <w:tabs>
                <w:tab w:val="clear" w:pos="709"/>
                <w:tab w:val="left" w:pos="6915" w:leader="none"/>
              </w:tabs>
              <w:spacing w:before="0" w:after="55"/>
              <w:jc w:val="center"/>
              <w:rPr>
                <w:rFonts w:ascii="Calibri Light" w:hAnsi="Calibri Light"/>
                <w:sz w:val="22"/>
                <w:szCs w:val="22"/>
              </w:rPr>
            </w:pPr>
            <w:r>
              <w:rPr>
                <w:rFonts w:ascii="Calibri Light" w:hAnsi="Calibri Light"/>
                <w:b/>
                <w:bCs/>
                <w:i w:val="false"/>
                <w:iCs w:val="false"/>
                <w:color w:val="000000"/>
                <w:sz w:val="22"/>
                <w:szCs w:val="22"/>
                <w:shd w:fill="FFFFFF" w:val="clear"/>
              </w:rPr>
              <w:t>VALOR TOTAL</w:t>
            </w:r>
          </w:p>
        </w:tc>
        <w:tc>
          <w:tcPr>
            <w:tcW w:w="1394" w:type="dxa"/>
            <w:tcBorders>
              <w:bottom w:val="single" w:sz="2" w:space="0" w:color="000000"/>
              <w:right w:val="single" w:sz="2" w:space="0" w:color="000000"/>
            </w:tcBorders>
            <w:tcMar>
              <w:top w:w="0" w:type="dxa"/>
              <w:left w:w="0" w:type="dxa"/>
            </w:tcMar>
            <w:vAlign w:val="center"/>
          </w:tcPr>
          <w:p>
            <w:pPr>
              <w:pStyle w:val="Contedodatabela"/>
              <w:widowControl w:val="false"/>
              <w:jc w:val="center"/>
              <w:rPr>
                <w:rFonts w:ascii="Calibri Light" w:hAnsi="Calibri Light"/>
                <w:sz w:val="22"/>
                <w:szCs w:val="22"/>
              </w:rPr>
            </w:pPr>
            <w:r>
              <w:rPr>
                <w:rFonts w:ascii="Calibri Light" w:hAnsi="Calibri Light"/>
                <w:sz w:val="22"/>
                <w:szCs w:val="22"/>
              </w:rPr>
              <w:t>R$ 206.320,67</w:t>
            </w:r>
          </w:p>
        </w:tc>
      </w:tr>
    </w:tbl>
    <w:p>
      <w:pPr>
        <w:pStyle w:val="Nvel02"/>
        <w:numPr>
          <w:ilvl w:val="0"/>
          <w:numId w:val="0"/>
        </w:numPr>
        <w:ind w:left="0" w:right="0" w:hanging="0"/>
        <w:rPr>
          <w:rFonts w:ascii="Calibri Light" w:hAnsi="Calibri Light"/>
          <w:i w:val="false"/>
          <w:i w:val="false"/>
          <w:iCs w:val="false"/>
          <w:color w:val="000000"/>
          <w:sz w:val="24"/>
          <w:szCs w:val="24"/>
        </w:rPr>
      </w:pPr>
      <w:r>
        <w:rPr>
          <w:rFonts w:ascii="Calibri Light" w:hAnsi="Calibri Light"/>
          <w:i w:val="false"/>
          <w:iCs w:val="false"/>
          <w:color w:val="000000"/>
          <w:sz w:val="24"/>
          <w:szCs w:val="24"/>
        </w:rPr>
      </w:r>
    </w:p>
    <w:p>
      <w:pPr>
        <w:pStyle w:val="Normal"/>
        <w:numPr>
          <w:ilvl w:val="2"/>
          <w:numId w:val="4"/>
        </w:numPr>
        <w:spacing w:lineRule="auto" w:line="276" w:before="120" w:after="120"/>
        <w:ind w:left="930" w:right="0" w:hanging="504"/>
        <w:jc w:val="both"/>
        <w:rPr>
          <w:rFonts w:ascii="Calibri Light" w:hAnsi="Calibri Light"/>
        </w:rPr>
      </w:pPr>
      <w:r>
        <w:rPr>
          <w:rFonts w:eastAsia="Times New Roman" w:cs="Arial" w:ascii="Calibri Light" w:hAnsi="Calibri Light"/>
          <w:i w:val="false"/>
          <w:iCs w:val="false"/>
          <w:color w:val="000000"/>
          <w:sz w:val="24"/>
          <w:szCs w:val="24"/>
          <w:shd w:fill="FFFFFF" w:val="clear"/>
        </w:rPr>
        <w:t>Estimativas de consumo individualizadas, do órgão gerenciador e órgão(s) e entidade(s) participante(s).</w:t>
      </w:r>
    </w:p>
    <w:tbl>
      <w:tblPr>
        <w:tblW w:w="9634" w:type="dxa"/>
        <w:jc w:val="left"/>
        <w:tblInd w:w="113" w:type="dxa"/>
        <w:tblLayout w:type="fixed"/>
        <w:tblCellMar>
          <w:top w:w="0" w:type="dxa"/>
          <w:left w:w="108" w:type="dxa"/>
          <w:bottom w:w="0" w:type="dxa"/>
          <w:right w:w="108" w:type="dxa"/>
        </w:tblCellMar>
      </w:tblPr>
      <w:tblGrid>
        <w:gridCol w:w="707"/>
        <w:gridCol w:w="4558"/>
        <w:gridCol w:w="1815"/>
        <w:gridCol w:w="795"/>
        <w:gridCol w:w="840"/>
        <w:gridCol w:w="918"/>
      </w:tblGrid>
      <w:tr>
        <w:trPr/>
        <w:tc>
          <w:tcPr>
            <w:tcW w:w="9633"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57" w:after="177"/>
              <w:jc w:val="both"/>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Órgão Gerenciador</w:t>
            </w:r>
            <w:r>
              <w:rPr>
                <w:rFonts w:eastAsia="Times New Roman" w:cs="Arial" w:ascii="Calibri Light" w:hAnsi="Calibri Light"/>
                <w:b/>
                <w:bCs/>
                <w:i w:val="false"/>
                <w:iCs w:val="false"/>
                <w:color w:val="000000"/>
                <w:sz w:val="22"/>
                <w:szCs w:val="22"/>
                <w:shd w:fill="FFFFFF" w:val="clear"/>
              </w:rPr>
              <w:t>:23° Esquadrão de Cavalaria de Selva</w:t>
            </w:r>
          </w:p>
        </w:tc>
      </w:tr>
      <w:tr>
        <w:trPr/>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57" w:after="177"/>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item</w:t>
            </w:r>
          </w:p>
        </w:tc>
        <w:tc>
          <w:tcPr>
            <w:tcW w:w="4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57" w:after="177"/>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DESCRIÇÃO/ ESPECIF.</w:t>
            </w:r>
          </w:p>
        </w:tc>
        <w:tc>
          <w:tcPr>
            <w:tcW w:w="181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57" w:after="177"/>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UNIDADE</w:t>
            </w:r>
          </w:p>
          <w:p>
            <w:pPr>
              <w:pStyle w:val="Normal"/>
              <w:widowControl w:val="false"/>
              <w:suppressAutoHyphens w:val="true"/>
              <w:spacing w:lineRule="auto" w:line="240" w:before="57" w:after="177"/>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DE</w:t>
            </w:r>
          </w:p>
          <w:p>
            <w:pPr>
              <w:pStyle w:val="Normal"/>
              <w:widowControl w:val="false"/>
              <w:spacing w:lineRule="auto" w:line="240" w:before="0" w:after="120"/>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MEDIDA</w:t>
            </w:r>
          </w:p>
        </w:tc>
        <w:tc>
          <w:tcPr>
            <w:tcW w:w="79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57" w:after="177"/>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REQUISIÇÃO</w:t>
            </w:r>
          </w:p>
          <w:p>
            <w:pPr>
              <w:pStyle w:val="Normal"/>
              <w:widowControl w:val="false"/>
              <w:spacing w:lineRule="auto" w:line="240" w:before="0" w:after="120"/>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MÍNIMA</w:t>
            </w:r>
          </w:p>
        </w:tc>
        <w:tc>
          <w:tcPr>
            <w:tcW w:w="8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57" w:after="177"/>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REQUISIÇÃO</w:t>
            </w:r>
          </w:p>
          <w:p>
            <w:pPr>
              <w:pStyle w:val="Normal"/>
              <w:widowControl w:val="false"/>
              <w:spacing w:lineRule="auto" w:line="240" w:before="0" w:after="120"/>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Máxima</w:t>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57" w:after="177"/>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Quantidade</w:t>
            </w:r>
          </w:p>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total</w:t>
            </w:r>
          </w:p>
        </w:tc>
      </w:tr>
      <w:tr>
        <w:trPr/>
        <w:tc>
          <w:tcPr>
            <w:tcW w:w="707" w:type="dxa"/>
            <w:tcBorders>
              <w:top w:val="single" w:sz="4" w:space="0" w:color="000000"/>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10"/>
                <w:sz w:val="22"/>
                <w:szCs w:val="22"/>
              </w:rPr>
              <w:t>1</w:t>
            </w:r>
          </w:p>
        </w:tc>
        <w:tc>
          <w:tcPr>
            <w:tcW w:w="4558" w:type="dxa"/>
            <w:tcBorders>
              <w:top w:val="single" w:sz="4" w:space="0" w:color="000000"/>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OMEPRAZOL 20MG COMPRIMIDO – APRESENTAÇÃO: BLISTER C/28 CÁPSULAS</w:t>
            </w:r>
          </w:p>
        </w:tc>
        <w:tc>
          <w:tcPr>
            <w:tcW w:w="1815" w:type="dxa"/>
            <w:tcBorders>
              <w:top w:val="single" w:sz="4" w:space="0" w:color="000000"/>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cápsula</w:t>
            </w:r>
          </w:p>
        </w:tc>
        <w:tc>
          <w:tcPr>
            <w:tcW w:w="79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28</w:t>
            </w:r>
          </w:p>
        </w:tc>
        <w:tc>
          <w:tcPr>
            <w:tcW w:w="840" w:type="dxa"/>
            <w:tcBorders>
              <w:top w:val="single" w:sz="4" w:space="0" w:color="000000"/>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2240</w:t>
            </w:r>
          </w:p>
        </w:tc>
        <w:tc>
          <w:tcPr>
            <w:tcW w:w="918" w:type="dxa"/>
            <w:tcBorders>
              <w:top w:val="single" w:sz="4" w:space="0" w:color="000000"/>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2240</w:t>
            </w:r>
          </w:p>
        </w:tc>
      </w:tr>
      <w:tr>
        <w:trPr>
          <w:trHeight w:val="846" w:hRule="atLeast"/>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10"/>
                <w:sz w:val="22"/>
                <w:szCs w:val="22"/>
              </w:rPr>
              <w:t>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BUTILBROMETO DE ESCOPOLAMINA 10MG COMPRIMIDO – APRESENTAÇÃO: BLISTER C/ 10 COMPRIMIDOS REVESTIDOS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10</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spacing w:before="12" w:after="0"/>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10"/>
                <w:sz w:val="22"/>
                <w:szCs w:val="22"/>
              </w:rPr>
              <w:t>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BUTILBROMETO DE ESCOPOLAMINA 20MG AMPOLA – APRESENTAÇÃO: AMPOLA C/ 1ML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Ampola 1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513" w:after="633"/>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spacing w:before="1" w:after="0"/>
              <w:ind w:left="21" w:right="0" w:hanging="0"/>
              <w:jc w:val="center"/>
              <w:rPr>
                <w:rFonts w:ascii="Calibri Light" w:hAnsi="Calibri Light"/>
                <w:sz w:val="22"/>
                <w:szCs w:val="22"/>
              </w:rPr>
            </w:pPr>
            <w:r>
              <w:rPr>
                <w:rFonts w:ascii="Calibri Light" w:hAnsi="Calibri Light"/>
                <w:spacing w:val="-10"/>
                <w:sz w:val="22"/>
                <w:szCs w:val="22"/>
              </w:rPr>
              <w:t>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CLORIDRATO DE ONDANSETRONA 8MG COMPRIMIDO – APRESENTAÇÃO: BLISTER C/ 10 COMPRIMIDOS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10</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10"/>
                <w:sz w:val="22"/>
                <w:szCs w:val="22"/>
              </w:rPr>
              <w:t>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CLORIDRATO DE ONDANSETRONA 2ML, SOLUÇÃO INJETÁVEL – APRESENTAÇÃO: AMPOLA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10"/>
                <w:sz w:val="22"/>
                <w:szCs w:val="22"/>
              </w:rPr>
              <w:t>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SIMETICONA 40MG COMPRIMIDO – APRESENTAÇÃO: BLISTER C/ 20 COMPRIMIDOS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20</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10"/>
                <w:sz w:val="22"/>
                <w:szCs w:val="22"/>
              </w:rPr>
              <w:t>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SAIS PARA REIDRATAÇÃO ORAL, COMPOSIÇÃO: SÓDIO, POTÁSSIO, CLORETO, CITRATO E GLICOSE</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envelope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10"/>
                <w:sz w:val="22"/>
                <w:szCs w:val="22"/>
              </w:rPr>
              <w:t>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CLORETO DE SÓDIO SOLUÇÃO FISIOLÓGICA 0,9% - FRASCO C/100ML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100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10"/>
                <w:sz w:val="22"/>
                <w:szCs w:val="22"/>
              </w:rPr>
              <w:t>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CLORETO DE SÓDIO SOLUÇÃO FISIOLÓGICA 0,9% - FRASCO C/500ML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500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CLORETO DE SÓDIO CONCENTRAÇAO: 0,9% FORMA FARMACEUTICA: SOLUÇÃO INJETÁVEL</w:t>
              <w:br/>
              <w:t>CARACTERISTICA ADICIONAL: SISTEMA FECHADO CARACTERÍSTICAS ADICIONAIS 1: BOLSA/FRASCO C/250ML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Bolsa 250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RINGER COM LACTATO SOLUÇÃO – APRESENTAÇÃO: FRASCO C/ 500ML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Bolsa 500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RINGER COM LACTATO SOLUÇÃO – APRESENTAÇÃO: FRASCO C/ 250ML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Bolsa 250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EPINEFRINA 1MG/ML SOLUÇÃO INJETÁVEL – APRESENTAÇÃO: AMPOLA C/ 1ML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Ampola 1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spacing w:before="1" w:after="0"/>
              <w:ind w:left="21" w:right="0" w:hanging="0"/>
              <w:jc w:val="center"/>
              <w:rPr>
                <w:rFonts w:ascii="Calibri Light" w:hAnsi="Calibri Light"/>
                <w:sz w:val="22"/>
                <w:szCs w:val="22"/>
              </w:rPr>
            </w:pPr>
            <w:r>
              <w:rPr>
                <w:rFonts w:ascii="Calibri Light" w:hAnsi="Calibri Light"/>
                <w:spacing w:val="-5"/>
                <w:sz w:val="22"/>
                <w:szCs w:val="22"/>
              </w:rPr>
              <w:t>14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5.000 UI DE PALMITATO DE RETINOL, 900 UI DE COLECALCIFEROL E 150MG DE ÓXIDO DE ZINCO – APRESENTAÇÃO: BISNAGA C/ 90G</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Bisnaga 90 gramas</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spacing w:before="1" w:after="0"/>
              <w:ind w:left="21" w:right="0" w:hanging="0"/>
              <w:jc w:val="center"/>
              <w:rPr>
                <w:rFonts w:ascii="Calibri Light" w:hAnsi="Calibri Light"/>
                <w:sz w:val="22"/>
                <w:szCs w:val="22"/>
              </w:rPr>
            </w:pPr>
            <w:r>
              <w:rPr>
                <w:rFonts w:ascii="Calibri Light" w:hAnsi="Calibri Light"/>
                <w:spacing w:val="-5"/>
                <w:sz w:val="22"/>
                <w:szCs w:val="22"/>
              </w:rPr>
              <w:t>15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NEOMICINA 5MG + BACITRACINA 250UI</w:t>
              <w:br/>
              <w:t>/G POMADA – APRESENTAÇÃO: BISNAGA C/ 50G</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Bisnaga 10 gramas</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spacing w:before="1" w:after="0"/>
              <w:ind w:left="21" w:right="0" w:hanging="0"/>
              <w:jc w:val="center"/>
              <w:rPr>
                <w:rFonts w:ascii="Calibri Light" w:hAnsi="Calibri Light"/>
                <w:sz w:val="22"/>
                <w:szCs w:val="22"/>
              </w:rPr>
            </w:pPr>
            <w:r>
              <w:rPr>
                <w:rFonts w:ascii="Calibri Light" w:hAnsi="Calibri Light"/>
                <w:spacing w:val="-5"/>
                <w:sz w:val="22"/>
                <w:szCs w:val="22"/>
              </w:rPr>
              <w:t>16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SULFADIAZINA DE PRATA 1% – APRESENTAÇÃO: BISNAGA C/ 30G</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Bisnaga 30 gramas</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BETAMETASONA, COMPOSIÇÃO: DIPROPIONATO, ASSOCIADA AO CETOCONAZOL E NEOMICINA, CONCENTRAÇÃO:0,5 MG/G + 20 MG/G + 1,5 MG/G, FORMA FARMACEUTICA: CREME, BISNAGA C/30G</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Bisnaga 30 gramas</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IVERMECTINA 6MG COMPRIMIDO – APRESENTAÇÃO: CAIXA C/ 2 COMPRIMIDO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2</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320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320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spacing w:before="1" w:after="0"/>
              <w:ind w:left="21" w:right="0" w:hanging="0"/>
              <w:jc w:val="center"/>
              <w:rPr>
                <w:rFonts w:ascii="Calibri Light" w:hAnsi="Calibri Light"/>
                <w:sz w:val="22"/>
                <w:szCs w:val="22"/>
              </w:rPr>
            </w:pPr>
            <w:r>
              <w:rPr>
                <w:rFonts w:ascii="Calibri Light" w:hAnsi="Calibri Light"/>
                <w:spacing w:val="-5"/>
                <w:sz w:val="22"/>
                <w:szCs w:val="22"/>
              </w:rPr>
              <w:t>19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DEXAMETASONA + SULFATO DE NEOMICINA + SULFATO DE POLIMIXINA B FRASCO – APRESENTAÇÃO: FRASCO C/ 5ML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5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20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SULFATO DE TOBRAMICINA DE 3MG/ML FRASCO – APRESENTAÇÃO: FRASCO C/ 5ML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Ampola 5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spacing w:before="1" w:after="0"/>
              <w:ind w:left="21" w:right="0" w:hanging="0"/>
              <w:jc w:val="center"/>
              <w:rPr>
                <w:rFonts w:ascii="Calibri Light" w:hAnsi="Calibri Light"/>
                <w:sz w:val="22"/>
                <w:szCs w:val="22"/>
              </w:rPr>
            </w:pPr>
            <w:r>
              <w:rPr>
                <w:rFonts w:ascii="Calibri Light" w:hAnsi="Calibri Light"/>
                <w:spacing w:val="-5"/>
                <w:sz w:val="22"/>
                <w:szCs w:val="22"/>
              </w:rPr>
              <w:t>21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SULFATO DE NEOMICINA 10MG/ML + HIDROCORTISONA 5MG/ML + SULFATO DE POLIMIXINA B 10.000UI/ML – APRESENTAÇÃO: FRASCO C/ 10ML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10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22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DEXAMETASONA 4MG/ML SOLUÇÃO INJETÁVEL – APRESENTAÇÃO: AMPOLA C/ 2,5ML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Ampola 2,5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23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PREDNISOLONA 20MG COMPRIMIDO – APRESENTAÇÃO: BLISTER C/ 10 COMPRIMIDO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342" w:after="462"/>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10</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24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ALBENDAZOL 400MG COMPRIMIDO – APRESENTAÇÃO: BLISTER C/ 1 COMPRIMIDO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spacing w:before="12" w:after="0"/>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25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CIPROFLOXACINO 500MG COMPRIMIDO – APRESENTAÇÃO: BLISTER C/ 14 COMPRIMIDO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570" w:after="690"/>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14</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1400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1400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spacing w:before="12" w:after="0"/>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26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br/>
              <w:t>SULFAMETOXAZOL 400MG + TRIMETROPIMA 80MG – APRESENTAÇÃO: BLISTER C/ 20 COMPRIMIDO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513" w:after="633"/>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20</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27</w:t>
            </w:r>
          </w:p>
        </w:tc>
        <w:tc>
          <w:tcPr>
            <w:tcW w:w="4558" w:type="dxa"/>
            <w:tcBorders>
              <w:left w:val="single" w:sz="4" w:space="0" w:color="000000"/>
              <w:bottom w:val="single" w:sz="4" w:space="0" w:color="000000"/>
              <w:right w:val="single" w:sz="4" w:space="0" w:color="000000"/>
            </w:tcBorders>
          </w:tcPr>
          <w:p>
            <w:pPr>
              <w:pStyle w:val="Contedodatabela"/>
              <w:widowControl w:val="false"/>
              <w:spacing w:before="57" w:after="57"/>
              <w:jc w:val="both"/>
              <w:rPr>
                <w:rFonts w:ascii="Calibri Light" w:hAnsi="Calibri Light"/>
                <w:sz w:val="22"/>
                <w:szCs w:val="22"/>
              </w:rPr>
            </w:pPr>
            <w:r>
              <w:rPr>
                <w:rFonts w:ascii="Calibri Light" w:hAnsi="Calibri Light"/>
                <w:sz w:val="22"/>
                <w:szCs w:val="22"/>
              </w:rPr>
              <w:t>AMOXICILINA 500MG – APRESENTAÇÃO: BLISTER C/ 21 CÁPSULAS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cápsula</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21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spacing w:before="8" w:after="0"/>
              <w:ind w:left="21" w:right="0" w:hanging="0"/>
              <w:jc w:val="center"/>
              <w:rPr>
                <w:rFonts w:ascii="Calibri Light" w:hAnsi="Calibri Light"/>
                <w:sz w:val="22"/>
                <w:szCs w:val="22"/>
              </w:rPr>
            </w:pPr>
            <w:r>
              <w:rPr>
                <w:rFonts w:ascii="Calibri Light" w:hAnsi="Calibri Light"/>
                <w:spacing w:val="-5"/>
                <w:sz w:val="22"/>
                <w:szCs w:val="22"/>
              </w:rPr>
              <w:t>28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AMOXICILINA 500MG + CLAVULANATO DE POTÁSSIO 125MG – APRESENTAÇÃO: BLISTER C/ 21 COMPRIMIDOS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114" w:after="234"/>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21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2100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2100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29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CEFALEXINA 500MG COMPRIMIDO – APRESENTAÇÃO: BLISTER C/ 10 COMPRIMIDO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10</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30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AZITROMICINA 500MG COMPRIMIDO – APRESENTAÇÃO: BLISTER C/ 3 COMPRIMIDO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3</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31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LORATADINA 10MG COMPRIMIDO – APRESENTAÇÃO: BLISTER C/ 12 COMPRIMIDOS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12</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32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PROMETAZINA 25MG SOLUÇÃO INJETÁVEL – APRESENTAÇÃO:</w:t>
              <w:br/>
              <w:t>AMPOLA C/ 2ML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spacing w:before="1" w:after="0"/>
              <w:ind w:left="21" w:right="0" w:hanging="0"/>
              <w:jc w:val="center"/>
              <w:rPr>
                <w:rFonts w:ascii="Calibri Light" w:hAnsi="Calibri Light"/>
                <w:sz w:val="22"/>
                <w:szCs w:val="22"/>
              </w:rPr>
            </w:pPr>
            <w:r>
              <w:rPr>
                <w:rFonts w:ascii="Calibri Light" w:hAnsi="Calibri Light"/>
                <w:spacing w:val="-5"/>
                <w:sz w:val="22"/>
                <w:szCs w:val="22"/>
              </w:rPr>
              <w:t>33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LIDOCAÍNA + EPINEFRINA 2% SOLUÇÃO INJETÁVEL – APRESENTAÇÃO: FRASCO</w:t>
              <w:br/>
              <w:t>/AMPOLA C/ 20ML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Frasco-ampola</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34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LIDOCAÍNA 2% SOLUÇÃO INJETÁVEL – APRESENTAÇÃO: AMPOLA C/ 2 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35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DIPIRONA 500MG COMPRIMIDO – APRESENTAÇÃO: BLISTER C/ 10 COMPRIMIDOS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10</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spacing w:before="8" w:after="0"/>
              <w:ind w:left="21" w:right="0" w:hanging="0"/>
              <w:jc w:val="center"/>
              <w:rPr>
                <w:rFonts w:ascii="Calibri Light" w:hAnsi="Calibri Light"/>
                <w:spacing w:val="-5"/>
                <w:sz w:val="22"/>
                <w:szCs w:val="22"/>
              </w:rPr>
            </w:pPr>
            <w:r>
              <w:rPr>
                <w:rFonts w:ascii="Calibri Light" w:hAnsi="Calibri Light"/>
                <w:spacing w:val="-5"/>
                <w:sz w:val="22"/>
                <w:szCs w:val="22"/>
              </w:rPr>
            </w:r>
          </w:p>
          <w:p>
            <w:pPr>
              <w:pStyle w:val="TableParagraph"/>
              <w:widowControl w:val="false"/>
              <w:spacing w:before="8" w:after="0"/>
              <w:ind w:left="0" w:right="0" w:hanging="0"/>
              <w:jc w:val="center"/>
              <w:rPr>
                <w:rFonts w:ascii="Calibri Light" w:hAnsi="Calibri Light"/>
                <w:sz w:val="22"/>
                <w:szCs w:val="22"/>
              </w:rPr>
            </w:pPr>
            <w:r>
              <w:rPr>
                <w:rFonts w:ascii="Calibri Light" w:hAnsi="Calibri Light"/>
                <w:spacing w:val="-5"/>
                <w:sz w:val="22"/>
                <w:szCs w:val="22"/>
              </w:rPr>
              <w:t>36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TRAMADOL 100MG/2ML AMPOLA – APRESENTAÇÃO: AMPOLA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spacing w:before="1" w:after="0"/>
              <w:ind w:left="21" w:right="0" w:hanging="0"/>
              <w:jc w:val="center"/>
              <w:rPr>
                <w:rFonts w:ascii="Calibri Light" w:hAnsi="Calibri Light"/>
                <w:sz w:val="22"/>
                <w:szCs w:val="22"/>
              </w:rPr>
            </w:pPr>
            <w:r>
              <w:rPr>
                <w:rFonts w:ascii="Calibri Light" w:hAnsi="Calibri Light"/>
                <w:spacing w:val="-5"/>
                <w:sz w:val="22"/>
                <w:szCs w:val="22"/>
              </w:rPr>
              <w:t>37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CLORIDRATO DE AMBROXOL XAROPE – APRESENTAÇÃO: FRASCO C/ 120 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120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38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BROMETO DE IPRATRÓPIO GOTAS – APRESENTAÇÃO: FRASCO C/ 20ML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20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39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BROMIDRATO DE FENOTEROL, SOLUÇÃO INALANTE – APRESENTAÇÃO: FRASCO C/ 20ML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20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0" w:after="120"/>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40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DICLOFENACO POTÁSSICO 50MG COMPRIMIDO – APRESENTAÇÃO: BLISTER C/ 20 COMPRIMIDOS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0" w:after="120"/>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20</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41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DICLOFENACO POTÁSSICO 75MG/ML SOLUÇÃO INJETÁVEL – APRESENTAÇÃO: AMPOLA C/ 3ML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Ampola 3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0" w:after="120"/>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42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CETOPROFENO 100MG SOLUÇÃO INJETÁVEL/ ENDOVENOSA – APRESENTAÇÃO: AMPOLA C/ 2ML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57" w:after="177"/>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43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ÁCIDO ACETILSALICÍLICO, FORMA FARMACEUTICA: COMPRIMIDO EFERVESCENTE, CONTENDO 10 COMPRIMIDOS SABOR LARANJA, ALTA CONCENTRAÇÃO DE VITAMINA C (1000 MG)</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57" w:after="177"/>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10</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44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IBUPROFENO, DOSAGEM: 600 MG, APRESENTAÇÃO: CAIXA COM 10 CÁPSULAS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10</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45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DICLOFENACO , FORMA FARMACÊUTICA: AEROSOL TÓPICO , CONCENTRAÇÃO: 10 MG/G, 2 X 1 ANALGÉSICO E ANTI-INFLAMATÓRIO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85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46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BETAMETASONA COMPOSIÇÃO: DIPROPIONATO APRESENTAÇÃO: ASSOCIADA COM BETAMETASONA FOSFATO DOSAGEM: 5MG + 2MG USO: INJETÁVEL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Ampola 1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47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TIOCOLCHICOSÍDEO DOSAGEM: 2 MG</w:t>
              <w:br/>
              <w:t>/ML FORMA FARMACÊUTICA: SOLUÇÃO INJETÁVEL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48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PARACETAMOL COMPOSIÇÃO: ASSOCIADO À CLORFENIRAMINA E FENILEFRINA CONCENTRAÇÃO: 400 MG</w:t>
              <w:br/>
              <w:t>+ 4 MG + 4 MG</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0" w:after="120"/>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10</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49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PROBIÓTICO COMPOSIÇÃO: SACCHAROMYCES</w:t>
              <w:br/>
              <w:t>CEREVISIAE CONCENTRAÇÃO: 100 MILHÕES/ML FORMA FARMACÊUTICA: ORAL, USO ADULTO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Flaconete 5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50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PROBIÓTICO COMPOSIÇÃO: SACCHAROMYCES</w:t>
              <w:br/>
              <w:t>CEREVISIAE CONCENTRAÇÃO: 100 MILHÕES/ML FORMA FARMACÊUTICA: ORAL, USO INFANTIL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Flaconete 5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51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ACETILCISTEÍNA CONCENTRAÇAO: 40 MG/ML FORMA FARMACEUTICA: XAROPE</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120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250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52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DEXCLORFENIRAMINA MALEATO, COMPOSIÇÃO:ASSOCIADA À BETAMETASONA, CONCENTRAÇÃO:0,4 MG + 0,05 MG/ML, FORMA FARMACÊUTICA:XAROPE</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120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250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53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ACEBROFILINA CONCENTRAÇÃO: 10 MG</w:t>
              <w:br/>
              <w:t>/ML FORMA FARMACEUTICA: XAROPE</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120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250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54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PARACETAMOL APRESENTAÇÃO: ASSOCIADO COM CARBINOXAMINA</w:t>
              <w:br/>
              <w:t>DOSAGEM: 120MG + 2MG/ML USO: SOLUÇÃO ORAL-GOTAS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15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55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PREDNISOLONA CONCENTRAÇÃO: 40 MG FORMA FARMACÊUTICA: COMPRIMIDO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56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RIFAMICINA DOSAGEM: 10 MG/ML INDICAÇÃO: SPRAY C/20ML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20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57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PARACETAMOL 500MG COMPRIMIDO – APRESENTAÇÃO: BLISTER C/ 10 COMPRIMIDOS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57" w:after="177"/>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10</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58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DIPIRONA 500MG/ML AMPOLA – APRESENTAÇÃO: AMPOLA C/ 2ML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Ampola 2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59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HIDROCORTISONA 500 MG</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Frasco-ampola</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800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800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60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IBUPROFENO CONCENTRAÇÃO: 200 MG</w:t>
              <w:br/>
              <w:t>/ML FORMA FARMACEUTICA: ORAL GOTAS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comprimido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61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ÁLCOOL ETÍLICO, TIPO: HIDRATADO, TEOR ALCOÓLICO: 70%_(70°GL), APRESENTAÇÃO: LÍQUIDO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1000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62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ATADURA DE CREPOM, ROLO 0,10 X 3M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Rolo 1,8 metros</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spacing w:before="1" w:after="0"/>
              <w:ind w:left="21" w:right="0" w:hanging="0"/>
              <w:jc w:val="center"/>
              <w:rPr>
                <w:rFonts w:ascii="Calibri Light" w:hAnsi="Calibri Light"/>
                <w:sz w:val="22"/>
                <w:szCs w:val="22"/>
              </w:rPr>
            </w:pPr>
            <w:r>
              <w:rPr>
                <w:rFonts w:ascii="Calibri Light" w:hAnsi="Calibri Light"/>
                <w:spacing w:val="-5"/>
                <w:sz w:val="22"/>
                <w:szCs w:val="22"/>
              </w:rPr>
              <w:t>63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COLETOR PERFUROCORTANTE DE 7L UNIDADE</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64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COMPRESSA DE GASE 7,5 X 7,5 CM C/ 13 FIOS PACOTE C/ 500</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Pacote 500 und</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60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60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65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DISPOSITIVO INTRAVENOSO PERIFÉRICO (JELCO) Nº 22 , CAIXA C/100 UNIDADES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spacing w:before="105" w:after="0"/>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66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EQUIPO MACROGOTAS PARA SORO DESCARTÁVEL UNIDADE</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570" w:after="690"/>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67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ESPARADRAPO ROLO 10CM X 4,5CM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Rolo 4,5 metros</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68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FITA HOSPITALAR, TIPO:MICROPOROSA, MATERIAL:DORSO EM NÃO TECIDO, COMPONENTES:ADESIVO ACRÍLICO, DIMENSÕES:CERCA DE 25 MM, CARACTERÍSTICAS ADICIONAIS: HIPOALERGÊNICO, COR:TRANSPARENTE</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Rolo 4,5 metros</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69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MÁSCARA DESCARTÁVEL C/ ELÁSTICO PARA CLÍNICO, CAIXA C/ 50</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Caixa c/ 50 und</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57" w:after="177"/>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70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SERINGA HIPODÉRMICA 10ML, UNIDADE</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57" w:after="177"/>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71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SERINGA HIPODÉRMICA 20ML, UNIDADE</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114" w:after="234"/>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72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VENESCALPE DESCARTÁVEL Nº 23, CAIXA C/ 100</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0" w:after="120"/>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73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SACO PLÁSTICO LIXO, CAPACIDADE: 100 L, COR: BRANCO LEITOSO, CARACTERÍSTICAS ADICIONAIS: COM SIMBOLOGIA DE SUBSTÂNCIA INFECTANTE</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Pacote c/ 100und</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74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TERMÔMETRO CLÍNICO, AJUSTE: DIGITAL, ESCALA: ATÉ 45 °C, TIPO*: USO AXILAR E ORAL, COMPONENTES: C/ ALARMES, MEMÓRIA: MEMÓRIA ÚLTIMA MEDIÇÃO, EMBALAGEM: EMBALAGEM INDIVIDUAL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75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TERMÔMETRO CLÍNICO, AJUSTE: DIGITAL, INFRAVERMELHO, TIPO*: USO EM TESTA, COMPONENTES: C/ ALARMES, MEDIÇÃO À DISTÂNCIA, MEMÓRIA: MEMÓRIA ATÉ 20 MEDIÇÕES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76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OXÍMETRO USO MÉDICO TIPO: MÃO , FAIXA MEDIÇÃO SATURAÇÃO 1: 0 A 100% , FAIXA MEDIÇÃO PULSO 1: CERCA DE 20 A 250 BPM, AUTONOMIA SISTEMA 1: CERCA 16 H, ALIMENTAÇÃO: PILHA , ACESSÓRIOS: C/ SENSOR , CARACTERÍSTICAS ADICIONAIS 1: C/ BOLSA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eastAsia="Times New Roman" w:cs="Arial" w:ascii="Calibri Light" w:hAnsi="Calibri Light"/>
                <w:b w:val="false"/>
                <w:bCs w:val="false"/>
                <w:i w:val="false"/>
                <w:iCs w:val="false"/>
                <w:color w:val="000000"/>
                <w:sz w:val="22"/>
                <w:szCs w:val="22"/>
                <w:shd w:fill="FFFFFF" w:val="clear"/>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77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ESFIGMOMANÔMETRO, AJUSTE: DIGITAL, TIPO*: DE BRAÇO, FAIXA DE OPERAÇÃO: ATÉ 300 MMHG, MATERIAL BRAÇADEIRA: BRAÇADEIRA EM NYLON, TIPO FECHO: FECHO EM VELCRO, TAMANHO: ADULTO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78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ESTETOSCÓPIO, TIPO: BIAURICULAR, APRESENTAÇÃO: EM PLÁSTICO, CARACTERÍSTICAS ADICIONAIS*: COMPATÍVEL C/ AMBIENTE RESSONÂNCIA MAGNÉTICA – MRI, TAMANHO: ADULTO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79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MONITOR PORTÁTIL, OPERAÇÃO: DIGITAL, TIPO AMOSTRA: SANGUE CAPILAR, TIPO DE ANÁLISE: QUANTITATIVO HEMOGLOBINA TOTAL E ATIVIDADE G6PD, FAIXA DE OPERAÇÃO: ATÉ 30 G/DL E ATÉ 20 U/G HB, TEMPO RESPOSTA: ATÉ 2 MIN</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80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REAGENTE PARA DIAGNÓSTICO CLÍNICO 5, TIPO DE ANÁLISE: QUANTITATIVO DE GLICOSE, CARACTERÍSTICAS ADICIONAIS: CAPILAR, APRESENTAÇÃO: TIRA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81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DISPOSITIVO INTRAVENOSO PERIFÉRICO (JELCO) Nº 24 , CAIXA C/100 UNIDADES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82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COMPRESSA GAZE, MATERIAL: 100% ALGODÃO, DIMENSÕES: CERCA DE 7,5 X 7,5 CM, GRAMATURA: 13 FIOS/ CM2, ADICIONAL: 5 DOBRAS, ESTERILIDADE*: ESTÉRIL, USO ÚNICO, EMBALAGEM: EMBALAGEM INDIVIDUAL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Pct 5 Und</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83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ABRIDOR DE BOCA, AUTOCLAVÁVEL ADULTO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84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AGULHA GENGIVAL DESCARTÁVEL, CURTA, 30G</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Caixa c/ 100 Und</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85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AGULHA GENGIVAL DESCARTÁVEL LONGA, 27G</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Caixa c/ 100 Und</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86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APLICADOR DESCARTÁVEL BRUSH, TAMANHO REGULAR</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Caixa c/ 100 Und</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87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ARCO DE OSTBY PLÁSTICO E AUTOCLAVÁVEL, ADULTO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88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CARBIDE ALTA ROTAÇÃO, ESFÉRICA, Nº 6</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89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CARBIDE ALTA ROTAÇÃO, ESFÉRICA, Nº 8</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90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DE AÇO, BAIXA ROTAÇÃO, Nº 2, PARA CONTRA-ÂNGULO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91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DE AÇO, BAIXA ROTAÇÃO, Nº 4, PARA CONTRA-ÂNGULO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171" w:after="291"/>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92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DE AÇO, BAIXA ROTAÇÃO, Nº 6, PARA CONTRA-ÂNGULO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93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DE LARGO, BAIXA ROTAÇÃO NR 1, DE 28 MM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94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DE LARGO,</w:t>
              <w:br/>
              <w:t>BAIXA ROTAÇÃO NR 1, DE 32 MM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171" w:after="291"/>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95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DE LARGO, BAIXA ROTAÇÃO NR 2, DE 28 MM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171" w:after="291"/>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96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DE LARGO, NR 2, DE 32 MM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97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1012, ESFÉRICA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98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1012 HL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99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1014, ESFÉRICA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100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1014 HL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101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1015, ESFÉRICA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spacing w:before="8" w:after="0"/>
              <w:ind w:left="36" w:right="0" w:hanging="0"/>
              <w:jc w:val="center"/>
              <w:rPr>
                <w:rFonts w:ascii="Calibri Light" w:hAnsi="Calibri Light"/>
                <w:sz w:val="22"/>
                <w:szCs w:val="22"/>
              </w:rPr>
            </w:pPr>
            <w:r>
              <w:rPr>
                <w:rFonts w:ascii="Calibri Light" w:hAnsi="Calibri Light"/>
                <w:spacing w:val="-5"/>
                <w:sz w:val="22"/>
                <w:szCs w:val="22"/>
              </w:rPr>
              <w:t>102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1016, ESFÉRICA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57" w:after="177"/>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103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1016 HL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104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1093F</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105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1093FF</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106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4083</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107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4138</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342" w:after="462"/>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108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4138F</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109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4138FF</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110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GATES-GLINDDEN, Nº 1, DE 28 MM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111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GATES-GLINDDEN, Nº 1, DE 32 MM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36" w:right="0" w:hanging="0"/>
              <w:jc w:val="center"/>
              <w:rPr>
                <w:rFonts w:ascii="Calibri Light" w:hAnsi="Calibri Light"/>
                <w:sz w:val="22"/>
                <w:szCs w:val="22"/>
              </w:rPr>
            </w:pPr>
            <w:r>
              <w:rPr>
                <w:rFonts w:ascii="Calibri Light" w:hAnsi="Calibri Light"/>
                <w:spacing w:val="-5"/>
                <w:sz w:val="22"/>
                <w:szCs w:val="22"/>
              </w:rPr>
              <w:t>112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GATES-GLINDDEN, Nº 2, DE 28 MM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spacing w:before="116" w:after="0"/>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113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GATES-GLINDDEN, Nº 2, DE 32 MM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114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ENDO-Z, 21 MM, PARA ALTA ROTAÇÃO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115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ENDO-Z, 25 MM, PARA ALTA ROTAÇÃO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116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TRANSMETAL, 19 MM, CILINDRICA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117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TRANSMETAL, 25 MM, CILINDRICA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118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2200</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left="0" w:right="0" w:hanging="0"/>
              <w:jc w:val="center"/>
              <w:rPr>
                <w:rFonts w:ascii="Calibri Light" w:hAnsi="Calibri Light"/>
                <w:sz w:val="22"/>
                <w:szCs w:val="22"/>
              </w:rPr>
            </w:pPr>
            <w:r>
              <w:rPr>
                <w:rFonts w:ascii="Calibri Light" w:hAnsi="Calibri Light"/>
                <w:spacing w:val="-5"/>
                <w:sz w:val="22"/>
                <w:szCs w:val="22"/>
              </w:rPr>
              <w:t>119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3118</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120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3118F</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121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3118FF</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122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BROCA DIAMANTADA, ALTA ROTAÇÃO, Nº 3195</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40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pacing w:val="-5"/>
                <w:sz w:val="22"/>
                <w:szCs w:val="22"/>
              </w:rPr>
              <w:t>123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CLOREXIDINA ANTISSÉPTICO 0,12% COM</w:t>
              <w:br/>
              <w:t>1.000 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1000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r>
      <w:tr>
        <w:trPr/>
        <w:tc>
          <w:tcPr>
            <w:tcW w:w="707" w:type="dxa"/>
            <w:tcBorders>
              <w:left w:val="single" w:sz="4" w:space="0" w:color="000000"/>
              <w:bottom w:val="single" w:sz="4" w:space="0" w:color="000000"/>
              <w:right w:val="single" w:sz="4" w:space="0" w:color="000000"/>
            </w:tcBorders>
          </w:tcPr>
          <w:p>
            <w:pPr>
              <w:pStyle w:val="TableParagraph"/>
              <w:widowControl w:val="false"/>
              <w:spacing w:before="125" w:after="0"/>
              <w:ind w:left="21" w:right="0" w:hanging="0"/>
              <w:jc w:val="center"/>
              <w:rPr>
                <w:rFonts w:ascii="Calibri Light" w:hAnsi="Calibri Light"/>
                <w:sz w:val="22"/>
                <w:szCs w:val="22"/>
              </w:rPr>
            </w:pPr>
            <w:r>
              <w:rPr>
                <w:rFonts w:ascii="Calibri Light" w:hAnsi="Calibri Light"/>
                <w:spacing w:val="-5"/>
                <w:sz w:val="22"/>
                <w:szCs w:val="22"/>
              </w:rPr>
              <w:t>124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CLOREXIDINA A 2%, SOLUÇÃO DEGERMANTE</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1000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114" w:after="234"/>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125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CONDICIONADOR ACIDO GEL (ÁCIDO FOSFÓRICO 37%), 2,5 ML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Seringa 2,5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126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COPO DAPPEN DE VIDRO, DIVERSAS CORES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127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DESINFETANTE QUÍMICO A BASE DE ÁCIDO PERACÉTICO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Litro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128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DISCO DE LIXA FLEXÍVEL DE POLIÉSTER COM VÁRIAS GRANULAÇÕES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129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DISCO DE LIXA PARA ACABAMENTO E POLIMENTO DE RESTAURAÇÃO EM RESINA COMPOSTA (TIPO SOFLEX POP- ON)</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30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130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EDTA (QUELANTE) CONCENTRAÇÃO: 20% , ASPECTO FÍSICO: LÍQUIDO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20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131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ESCOVA DE ROBINSON CÔNICA PRETA OU BRANCA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132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FIO DENTAL 100 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Rolo 100 m</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133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FLÚOR EM GEL (FLUORETO DE SÓDIO 1,23%)</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500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134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ESCOVA DE ROBINSON RETA PRETA OU BRANCA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135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FORMOCRESOL COMPOSIÇÃO: FORMALDEÍDO + ORTO-CRESOL , CONCENTRAÇÃO: 19% + 35% APROXIMADAMENTE , VEÍCULO: EM SOLUÇÃO GLICERINADA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136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GRAMPO PARA ISOLAMENTO ABSOLUTO, Nº 202</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137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GRAMPO PARA ISOLAMENTO ABSOLUTO, Nº 205</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138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GRAMPO PARA ISOLAMENTO ABSOLUTO, Nº 209</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139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GRAMPO PARA ISOLAMENTO ABSOLUTO, Nº 210</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140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HIPOCLORITO DE SÓDIO 2,5% (SODA CLORADA)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Litro</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141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MATRIZ DE AÇO INOX 0,05 X 5 MM X 50 CM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142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MATRIZ DE INOX 0,05 X 7 MM X AÇO 50 CM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143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MATRIZ METÁLICA PARA MOLARES</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Embalagem c/20 und</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144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ÓLEO DE TURBINA PARA ALTA E BAIXA ROTAÇÃO EM SPRAY</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200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145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PARAMONOCLOROFENOL CANFORADO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20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r>
      <w:tr>
        <w:trPr/>
        <w:tc>
          <w:tcPr>
            <w:tcW w:w="707" w:type="dxa"/>
            <w:tcBorders>
              <w:left w:val="single" w:sz="4" w:space="0" w:color="000000"/>
              <w:bottom w:val="single" w:sz="4" w:space="0" w:color="000000"/>
              <w:right w:val="single" w:sz="4" w:space="0" w:color="000000"/>
            </w:tcBorders>
          </w:tcPr>
          <w:p>
            <w:pPr>
              <w:pStyle w:val="TableParagraph"/>
              <w:widowControl w:val="false"/>
              <w:spacing w:before="192" w:after="0"/>
              <w:ind w:right="0" w:hanging="0"/>
              <w:jc w:val="center"/>
              <w:rPr>
                <w:rFonts w:ascii="Calibri Light" w:hAnsi="Calibri Light"/>
                <w:sz w:val="22"/>
                <w:szCs w:val="22"/>
              </w:rPr>
            </w:pPr>
            <w:r>
              <w:rPr>
                <w:rFonts w:ascii="Calibri Light" w:hAnsi="Calibri Light"/>
                <w:spacing w:val="-5"/>
                <w:sz w:val="22"/>
                <w:szCs w:val="22"/>
              </w:rPr>
              <w:t>146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PASTA DIAMANTADA PARA ACABAMENTO E POLIMENTO EM RESINAS COMPOSTAS E ACRÍLICAS, GRANA “1“</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Bisnaga 2 gramas</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147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PASTA PROFILÁTICA COM FLÚOR</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r>
      <w:tr>
        <w:trPr>
          <w:trHeight w:val="555" w:hRule="atLeast"/>
        </w:trPr>
        <w:tc>
          <w:tcPr>
            <w:tcW w:w="707" w:type="dxa"/>
            <w:tcBorders>
              <w:left w:val="single" w:sz="4" w:space="0" w:color="000000"/>
              <w:bottom w:val="single" w:sz="4" w:space="0" w:color="000000"/>
              <w:right w:val="single" w:sz="4" w:space="0" w:color="000000"/>
            </w:tcBorders>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148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PEDRA POMES, PO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100 gramas</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149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KIT DE PONTAS ABRASIVAS SILICONIZADAS PARA CONTRA-ÂNGULO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rHeight w:val="711" w:hRule="atLeast"/>
        </w:trPr>
        <w:tc>
          <w:tcPr>
            <w:tcW w:w="707" w:type="dxa"/>
            <w:tcBorders>
              <w:left w:val="single" w:sz="4" w:space="0" w:color="000000"/>
              <w:bottom w:val="single" w:sz="4" w:space="0" w:color="000000"/>
              <w:right w:val="single" w:sz="4" w:space="0" w:color="000000"/>
            </w:tcBorders>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150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KIT DE ACESSÓRIO DE POSICIONADOR RADIOGRÁFICO AUTOCLAVÁVEl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151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A1</w:t>
              <w:br/>
              <w:t>NANOHIBRIDA.</w:t>
              <w:br/>
              <w:t>ASPECTO FÍSICO: FLUIDA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r>
      <w:tr>
        <w:trPr/>
        <w:tc>
          <w:tcPr>
            <w:tcW w:w="707" w:type="dxa"/>
            <w:tcBorders>
              <w:left w:val="single" w:sz="4" w:space="0" w:color="000000"/>
              <w:bottom w:val="single" w:sz="4" w:space="0" w:color="000000"/>
              <w:right w:val="single" w:sz="4" w:space="0" w:color="000000"/>
            </w:tcBorders>
          </w:tcPr>
          <w:p>
            <w:pPr>
              <w:pStyle w:val="TableParagraph"/>
              <w:widowControl w:val="false"/>
              <w:ind w:right="0" w:hanging="0"/>
              <w:jc w:val="center"/>
              <w:rPr>
                <w:rFonts w:ascii="Calibri Light" w:hAnsi="Calibri Light"/>
                <w:sz w:val="22"/>
                <w:szCs w:val="22"/>
              </w:rPr>
            </w:pPr>
            <w:r>
              <w:rPr>
                <w:rFonts w:ascii="Calibri Light" w:hAnsi="Calibri Light"/>
                <w:spacing w:val="-5"/>
                <w:sz w:val="22"/>
                <w:szCs w:val="22"/>
              </w:rPr>
              <w:t>152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A2</w:t>
              <w:br/>
              <w:t>NANOHIBRIDA.</w:t>
              <w:br/>
              <w:t>ASPECTO FÍSICO: FLUIDA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741" w:after="861"/>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r>
      <w:tr>
        <w:trPr/>
        <w:tc>
          <w:tcPr>
            <w:tcW w:w="707" w:type="dxa"/>
            <w:tcBorders>
              <w:left w:val="single" w:sz="4" w:space="0" w:color="000000"/>
              <w:bottom w:val="single" w:sz="4" w:space="0" w:color="000000"/>
              <w:right w:val="single" w:sz="4" w:space="0" w:color="000000"/>
            </w:tcBorders>
          </w:tcPr>
          <w:p>
            <w:pPr>
              <w:pStyle w:val="TableParagraph"/>
              <w:widowControl w:val="false"/>
              <w:spacing w:before="8" w:after="0"/>
              <w:ind w:left="21" w:right="0" w:hanging="0"/>
              <w:jc w:val="center"/>
              <w:rPr>
                <w:rFonts w:ascii="Calibri Light" w:hAnsi="Calibri Light"/>
                <w:sz w:val="22"/>
                <w:szCs w:val="22"/>
              </w:rPr>
            </w:pPr>
            <w:r>
              <w:rPr>
                <w:rFonts w:ascii="Calibri Light" w:hAnsi="Calibri Light"/>
                <w:spacing w:val="-5"/>
                <w:sz w:val="22"/>
                <w:szCs w:val="22"/>
              </w:rPr>
              <w:t>153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A3</w:t>
              <w:br/>
              <w:t>NANOHIBRIDA.</w:t>
              <w:br/>
              <w:t>ASPECTO FÍSICO: PASTOSA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57" w:after="177"/>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pacing w:val="-5"/>
                <w:sz w:val="22"/>
                <w:szCs w:val="22"/>
              </w:rPr>
            </w:pPr>
            <w:r>
              <w:rPr>
                <w:rFonts w:ascii="Calibri Light" w:hAnsi="Calibri Light"/>
                <w:spacing w:val="-5"/>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154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A3,5, NANOHIBRIDA.</w:t>
              <w:br/>
              <w:t>ASPECTO FÍSICO: PASTOSA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570" w:after="690"/>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155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B2, NANOHIBRIDA.</w:t>
              <w:br/>
              <w:t>ASPECTO FÍSICO: PASTOSA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342" w:after="462"/>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156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C2, NANOHIBRIDA.</w:t>
              <w:br/>
              <w:t>ASPECTO FÍSICO: PASTOSA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157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RESINA FOTOPOLIMERIZÁVEL COM CARGA INORGÂNICA DE ZIRCÔNIA- SÍLICA OU SIMILAR, COR INCISAL, NANOHIBRIDA</w:t>
              <w:br/>
              <w:t>ASPECTO FÍSICO: PASTOSA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Seringa</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158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RESTAURADOR PROVISÓRIO, TIPO CIMPAT, COLTOSOL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159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SISTEMA DE ADESIVO COM NANOTECNOLOGIA E SOLVENTE A BASE DE ÁGUA E ÁLCOOL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160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SOLUÇÃO HEMOSTÁTICA (HEMOSTOP OU SIMILAR)</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Frasco 10 ml</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161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SUGADOR DE SALIVA DESCARTÁVEL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342" w:after="462"/>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162</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TIRA DE LIXA DE AÇO 6 M</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163</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TIRA DE LIXA DE POLIÉSTER DE 4 MM PARA DESBASTE E ACABAMENTO DE RESTAURAÇÃO EM RESINA COMPOSTA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164</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CIMENTO IONÔMERO DE VIDRO PARA FORRAMENTO (AUTO POLIMERIZÁVEL) AUTO OU F</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165</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CIMENTO IONÔMERO DE VIDRO PARA CIMENTAÇÃO (AUTO OU FOTOPOLIMERIZÁVEL)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166</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CIMENTO RESINOSO AUTOADESIVO DUAL, COR A2</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167</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KIT DE ACABAMENTO E POLIMENTO DE RESINA COMPOSTA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168</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SOLVENTE DE GUTA PERCHA A BASE DE ÓLEO DE LARANJA</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28" w:after="348"/>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15</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169</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MOLDEIRA ODONTOLÓGICA MATERIAL: CERA C/ ESPUMA DE POLIURETANO TIPO: P/ APLICAÇÃO DE FLÚOR MODELO: SIMPLES TIPO USO: DESCARTÁVEL</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285" w:after="405"/>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250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170</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INDICADOR BIOLÓGICO TIPO: SEGUNDA GERAÇÃO APRESENTAÇÃO: AUTOCONTIDO, AMPOLA COM MEIO DE CULTURA ESPÉCIE: BACILLUS STEAROTHERMOPHILLUS CARACTERÍSTICAS ADICIONAIS: RESPOSTA EM 24 HORAS APLICAÇÃO: PARA ESTERILIZAÇÃO A VAPOR</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342" w:after="462"/>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r>
      <w:tr>
        <w:trPr/>
        <w:tc>
          <w:tcPr>
            <w:tcW w:w="707" w:type="dxa"/>
            <w:tcBorders>
              <w:left w:val="single" w:sz="4" w:space="0" w:color="000000"/>
              <w:bottom w:val="single" w:sz="4" w:space="0" w:color="000000"/>
              <w:right w:val="single" w:sz="4" w:space="0" w:color="000000"/>
            </w:tcBorders>
          </w:tcPr>
          <w:p>
            <w:pPr>
              <w:pStyle w:val="TableParagraph"/>
              <w:widowControl w:val="false"/>
              <w:jc w:val="center"/>
              <w:rPr>
                <w:rFonts w:ascii="Calibri Light" w:hAnsi="Calibri Light"/>
                <w:sz w:val="22"/>
                <w:szCs w:val="22"/>
              </w:rPr>
            </w:pPr>
            <w:r>
              <w:rPr>
                <w:rFonts w:ascii="Calibri Light" w:hAnsi="Calibri Light"/>
                <w:sz w:val="22"/>
                <w:szCs w:val="22"/>
              </w:rPr>
            </w:r>
          </w:p>
          <w:p>
            <w:pPr>
              <w:pStyle w:val="TableParagraph"/>
              <w:widowControl w:val="false"/>
              <w:ind w:left="21" w:right="0" w:hanging="0"/>
              <w:jc w:val="center"/>
              <w:rPr>
                <w:rFonts w:ascii="Calibri Light" w:hAnsi="Calibri Light"/>
                <w:sz w:val="22"/>
                <w:szCs w:val="22"/>
              </w:rPr>
            </w:pPr>
            <w:r>
              <w:rPr>
                <w:rFonts w:ascii="Calibri Light" w:hAnsi="Calibri Light"/>
                <w:spacing w:val="-5"/>
                <w:sz w:val="22"/>
                <w:szCs w:val="22"/>
              </w:rPr>
              <w:t>171</w:t>
            </w:r>
          </w:p>
        </w:tc>
        <w:tc>
          <w:tcPr>
            <w:tcW w:w="4558" w:type="dxa"/>
            <w:tcBorders>
              <w:left w:val="single" w:sz="4" w:space="0" w:color="000000"/>
              <w:bottom w:val="single" w:sz="4" w:space="0" w:color="000000"/>
              <w:right w:val="single" w:sz="4" w:space="0" w:color="000000"/>
            </w:tcBorders>
          </w:tcPr>
          <w:p>
            <w:pPr>
              <w:pStyle w:val="Contedodatabela"/>
              <w:widowControl w:val="false"/>
              <w:jc w:val="both"/>
              <w:rPr>
                <w:rFonts w:ascii="Calibri Light" w:hAnsi="Calibri Light"/>
                <w:sz w:val="22"/>
                <w:szCs w:val="22"/>
              </w:rPr>
            </w:pPr>
            <w:r>
              <w:rPr>
                <w:rFonts w:ascii="Calibri Light" w:hAnsi="Calibri Light"/>
                <w:sz w:val="22"/>
                <w:szCs w:val="22"/>
              </w:rPr>
              <w:t>INDICADOR QUÍMICO CLASSE: CLASSE I TIPO USO: EXTERNO APRESENTAÇÃO: ETIQUETA DUPLA CAMADA ADESIVA CARACTERÍSTICAS ADICIONAIS: PARA ESTERILIZAÇÃO A VAPOR COMPOSIÇÃO: PAPEL CREPADO, TINTA TERMO-REATIVA, ADESIVO SENSÍVEL A PRESSÃO.</w:t>
            </w:r>
          </w:p>
        </w:tc>
        <w:tc>
          <w:tcPr>
            <w:tcW w:w="1815"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Unidade</w:t>
            </w:r>
          </w:p>
        </w:tc>
        <w:tc>
          <w:tcPr>
            <w:tcW w:w="795" w:type="dxa"/>
            <w:tcBorders>
              <w:left w:val="single" w:sz="4" w:space="0" w:color="000000"/>
              <w:bottom w:val="single" w:sz="4" w:space="0" w:color="000000"/>
              <w:right w:val="single" w:sz="4" w:space="0" w:color="000000"/>
            </w:tcBorders>
          </w:tcPr>
          <w:p>
            <w:pPr>
              <w:pStyle w:val="Normal"/>
              <w:widowControl w:val="false"/>
              <w:spacing w:lineRule="auto" w:line="240" w:before="342" w:after="462"/>
              <w:jc w:val="center"/>
              <w:rPr>
                <w:rFonts w:ascii="Calibri Light" w:hAnsi="Calibri Light"/>
                <w:sz w:val="22"/>
                <w:szCs w:val="22"/>
              </w:rPr>
            </w:pPr>
            <w:r>
              <w:rPr>
                <w:rFonts w:ascii="Calibri Light" w:hAnsi="Calibri Light"/>
                <w:sz w:val="22"/>
                <w:szCs w:val="22"/>
              </w:rPr>
              <w:t>1</w:t>
            </w:r>
          </w:p>
        </w:tc>
        <w:tc>
          <w:tcPr>
            <w:tcW w:w="840"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c>
          <w:tcPr>
            <w:tcW w:w="918" w:type="dxa"/>
            <w:tcBorders>
              <w:left w:val="single" w:sz="4" w:space="0" w:color="000000"/>
              <w:bottom w:val="single" w:sz="4" w:space="0" w:color="000000"/>
              <w:right w:val="single" w:sz="4" w:space="0" w:color="000000"/>
            </w:tcBorders>
          </w:tcPr>
          <w:p>
            <w:pPr>
              <w:pStyle w:val="Contedodatabela"/>
              <w:widowControl w:val="false"/>
              <w:jc w:val="center"/>
              <w:rPr>
                <w:rFonts w:ascii="Calibri Light" w:hAnsi="Calibri Light"/>
                <w:sz w:val="22"/>
                <w:szCs w:val="22"/>
              </w:rPr>
            </w:pPr>
            <w:r>
              <w:rPr>
                <w:rFonts w:ascii="Calibri Light" w:hAnsi="Calibri Light"/>
                <w:sz w:val="22"/>
                <w:szCs w:val="22"/>
              </w:rPr>
              <w:t>50</w:t>
            </w:r>
          </w:p>
        </w:tc>
      </w:tr>
    </w:tbl>
    <w:p>
      <w:pPr>
        <w:pStyle w:val="Normal"/>
        <w:spacing w:lineRule="auto" w:line="276" w:before="0" w:after="120"/>
        <w:jc w:val="both"/>
        <w:rPr>
          <w:rFonts w:ascii="Calibri Light" w:hAnsi="Calibri Light" w:eastAsia="Times New Roman" w:cs="Arial"/>
          <w:b/>
          <w:i w:val="false"/>
          <w:i w:val="false"/>
          <w:iCs w:val="false"/>
          <w:color w:val="000000"/>
          <w:sz w:val="24"/>
          <w:szCs w:val="24"/>
          <w:shd w:fill="00FFFF" w:val="clear"/>
        </w:rPr>
      </w:pPr>
      <w:r>
        <w:rPr>
          <w:rFonts w:eastAsia="Times New Roman" w:cs="Arial" w:ascii="Calibri Light" w:hAnsi="Calibri Light"/>
          <w:b/>
          <w:i w:val="false"/>
          <w:iCs w:val="false"/>
          <w:color w:val="000000"/>
          <w:sz w:val="24"/>
          <w:szCs w:val="24"/>
          <w:shd w:fill="00FFFF" w:val="clear"/>
        </w:rPr>
      </w:r>
    </w:p>
    <w:p>
      <w:pPr>
        <w:pStyle w:val="Nvel2-Opcional"/>
        <w:widowControl/>
        <w:numPr>
          <w:ilvl w:val="1"/>
          <w:numId w:val="3"/>
        </w:numPr>
        <w:bidi w:val="0"/>
        <w:spacing w:lineRule="auto" w:line="276" w:before="120" w:after="120"/>
        <w:ind w:left="0" w:right="0" w:hanging="0"/>
        <w:jc w:val="both"/>
        <w:rPr>
          <w:rFonts w:ascii="Calibri Light" w:hAnsi="Calibri Light"/>
        </w:rPr>
      </w:pPr>
      <w:bookmarkStart w:id="1" w:name="_Hlk176363679"/>
      <w:r>
        <w:rPr>
          <w:rFonts w:ascii="Calibri Light" w:hAnsi="Calibri Light"/>
          <w:i w:val="false"/>
          <w:iCs w:val="false"/>
          <w:color w:val="000000"/>
          <w:sz w:val="24"/>
          <w:szCs w:val="24"/>
        </w:rPr>
        <w:t>Os bens objeto desta contratação são caracterizados como comuns, conforme justificativa constante do Estudo Técnico Preliminar.</w:t>
      </w:r>
      <w:bookmarkEnd w:id="1"/>
    </w:p>
    <w:p>
      <w:pPr>
        <w:pStyle w:val="Nvel2-Opcional"/>
        <w:widowControl/>
        <w:numPr>
          <w:ilvl w:val="1"/>
          <w:numId w:val="3"/>
        </w:numPr>
        <w:bidi w:val="0"/>
        <w:spacing w:lineRule="auto" w:line="276" w:before="120" w:after="120"/>
        <w:ind w:left="0" w:right="0" w:hanging="0"/>
        <w:jc w:val="both"/>
        <w:rPr>
          <w:rFonts w:ascii="Calibri Light" w:hAnsi="Calibri Light"/>
        </w:rPr>
      </w:pPr>
      <w:r>
        <w:rPr>
          <w:rFonts w:ascii="Calibri Light" w:hAnsi="Calibri Light"/>
          <w:i w:val="false"/>
          <w:iCs w:val="false"/>
          <w:color w:val="000000"/>
          <w:sz w:val="24"/>
          <w:szCs w:val="24"/>
        </w:rPr>
        <w:t xml:space="preserve">O prazo de vigência da contratação é de </w:t>
      </w:r>
      <w:r>
        <w:rPr>
          <w:rFonts w:ascii="Calibri Light" w:hAnsi="Calibri Light"/>
          <w:b/>
          <w:bCs/>
          <w:i w:val="false"/>
          <w:iCs w:val="false"/>
          <w:color w:val="000000"/>
          <w:sz w:val="24"/>
          <w:szCs w:val="24"/>
        </w:rPr>
        <w:t>12 (doze) meses</w:t>
      </w:r>
      <w:r>
        <w:rPr>
          <w:rFonts w:ascii="Calibri Light" w:hAnsi="Calibri Light"/>
          <w:i w:val="false"/>
          <w:iCs w:val="false"/>
          <w:color w:val="000000"/>
          <w:sz w:val="24"/>
          <w:szCs w:val="24"/>
        </w:rPr>
        <w:t xml:space="preserve"> contados da assinatura da Ata de Registro de Preços, na forma do artigo 105 da Lei n° 14.133, de 2021.</w:t>
      </w:r>
    </w:p>
    <w:p>
      <w:pPr>
        <w:pStyle w:val="Nvel2-Opcional"/>
        <w:widowControl/>
        <w:numPr>
          <w:ilvl w:val="1"/>
          <w:numId w:val="3"/>
        </w:numPr>
        <w:bidi w:val="0"/>
        <w:spacing w:lineRule="auto" w:line="276" w:before="120" w:after="120"/>
        <w:ind w:left="0" w:right="0" w:hanging="0"/>
        <w:jc w:val="both"/>
        <w:rPr>
          <w:rFonts w:ascii="Calibri Light" w:hAnsi="Calibri Light"/>
        </w:rPr>
      </w:pPr>
      <w:r>
        <w:rPr>
          <w:rFonts w:ascii="Calibri Light" w:hAnsi="Calibri Light"/>
          <w:i w:val="false"/>
          <w:iCs w:val="false"/>
          <w:color w:val="000000"/>
          <w:sz w:val="24"/>
          <w:szCs w:val="24"/>
        </w:rPr>
        <w:t xml:space="preserve">O objeto desta contratação não se enquadra como sendo de bem de luxo, conforme Decreto nº 10.818, de 27 de setembro de 2021 </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 contrato ou outro instrumento hábil que o substitua oferece maior detalhamento das regras que serão aplicadas em relação à vigência da contratação.</w:t>
      </w:r>
    </w:p>
    <w:p>
      <w:pPr>
        <w:pStyle w:val="Nvel02"/>
        <w:widowControl/>
        <w:numPr>
          <w:ilvl w:val="1"/>
          <w:numId w:val="3"/>
        </w:numPr>
        <w:bidi w:val="0"/>
        <w:spacing w:lineRule="auto" w:line="276" w:before="120" w:after="120"/>
        <w:ind w:left="0" w:right="0" w:hanging="0"/>
        <w:rPr>
          <w:rFonts w:ascii="Calibri Light" w:hAnsi="Calibri Light"/>
        </w:rPr>
      </w:pPr>
      <w:r>
        <w:rPr>
          <w:rFonts w:eastAsia="Arial" w:cs="Arial" w:ascii="Calibri Light" w:hAnsi="Calibri Light"/>
          <w:i w:val="false"/>
          <w:iCs w:val="false"/>
          <w:color w:val="000000"/>
          <w:sz w:val="24"/>
          <w:szCs w:val="24"/>
          <w:lang w:eastAsia="pt-BR"/>
        </w:rPr>
        <w:t>A descrição dos itens 16, 17 e 23 justifica-se e ampara-se no que diz o Inciso I do Art. 41, alínea b) da Lei n° 14.133, de</w:t>
        <w:br/>
        <w:t xml:space="preserve">2021, a indicação de uma ou mais marcas ou modelos se faz jus em decorrência da necessidade de manter a compatibilidade com plataformas e padrões já adotados pela Administração. </w:t>
      </w:r>
    </w:p>
    <w:p>
      <w:pPr>
        <w:pStyle w:val="Nivel01"/>
        <w:numPr>
          <w:ilvl w:val="0"/>
          <w:numId w:val="3"/>
        </w:numPr>
        <w:ind w:left="357" w:right="0" w:hanging="357"/>
        <w:rPr>
          <w:rFonts w:ascii="Calibri Light" w:hAnsi="Calibri Light"/>
        </w:rPr>
      </w:pPr>
      <w:r>
        <w:rPr>
          <w:rFonts w:ascii="Calibri Light" w:hAnsi="Calibri Light"/>
          <w:i w:val="false"/>
          <w:iCs w:val="false"/>
          <w:color w:val="000000"/>
          <w:sz w:val="24"/>
          <w:szCs w:val="24"/>
        </w:rPr>
        <w:t>FUNDAMENTAÇÃO E DESCRIÇÃO DA NECESSIDADE DA CONTRATAÇÃO</w:t>
      </w:r>
    </w:p>
    <w:p>
      <w:pPr>
        <w:pStyle w:val="Nvel02"/>
        <w:numPr>
          <w:ilvl w:val="1"/>
          <w:numId w:val="3"/>
        </w:numPr>
        <w:ind w:left="0" w:right="0" w:hanging="0"/>
        <w:rPr>
          <w:rFonts w:ascii="Calibri Light" w:hAnsi="Calibri Light"/>
        </w:rPr>
      </w:pPr>
      <w:bookmarkStart w:id="2" w:name="_Hlk170988156"/>
      <w:r>
        <w:rPr>
          <w:rFonts w:ascii="Calibri Light" w:hAnsi="Calibri Light"/>
          <w:i w:val="false"/>
          <w:iCs w:val="false"/>
          <w:color w:val="000000"/>
          <w:sz w:val="24"/>
          <w:szCs w:val="24"/>
        </w:rPr>
        <w:t>A Fundamentação da Contratação e de seus quantitativos encontra-se pormenorizada em tópico específico dos Estudos Técnicos Preliminares, apêndice deste Termo de Referência.</w:t>
      </w:r>
      <w:bookmarkEnd w:id="2"/>
    </w:p>
    <w:p>
      <w:pPr>
        <w:pStyle w:val="Nvel2-Opcional"/>
        <w:numPr>
          <w:ilvl w:val="1"/>
          <w:numId w:val="3"/>
        </w:numPr>
        <w:ind w:left="1709" w:right="0" w:hanging="432"/>
        <w:rPr>
          <w:rFonts w:ascii="Calibri Light" w:hAnsi="Calibri Light"/>
        </w:rPr>
      </w:pPr>
      <w:r>
        <w:rPr>
          <w:rFonts w:ascii="Calibri Light" w:hAnsi="Calibri Light"/>
          <w:i w:val="false"/>
          <w:iCs w:val="false"/>
          <w:color w:val="000000"/>
          <w:sz w:val="24"/>
          <w:szCs w:val="24"/>
        </w:rPr>
        <w:t>O objeto da contratação está previsto no Plano de Contratações Anual 2024, conforme detalhamento a seguir:</w:t>
      </w:r>
    </w:p>
    <w:p>
      <w:pPr>
        <w:pStyle w:val="ListParagraph"/>
        <w:numPr>
          <w:ilvl w:val="0"/>
          <w:numId w:val="7"/>
        </w:numPr>
        <w:spacing w:before="120" w:after="120"/>
        <w:ind w:left="284" w:right="0" w:hanging="0"/>
        <w:contextualSpacing/>
        <w:jc w:val="both"/>
        <w:rPr>
          <w:rFonts w:ascii="Calibri Light" w:hAnsi="Calibri Light"/>
        </w:rPr>
      </w:pPr>
      <w:r>
        <w:rPr>
          <w:rFonts w:ascii="Calibri Light" w:hAnsi="Calibri Light"/>
          <w:i w:val="false"/>
          <w:iCs w:val="false"/>
          <w:color w:val="000000"/>
          <w:sz w:val="24"/>
          <w:szCs w:val="24"/>
        </w:rPr>
        <w:t>ID PCA no PNCP: 00394452000103-0-000059/2025;</w:t>
      </w:r>
    </w:p>
    <w:p>
      <w:pPr>
        <w:pStyle w:val="ListParagraph"/>
        <w:numPr>
          <w:ilvl w:val="0"/>
          <w:numId w:val="7"/>
        </w:numPr>
        <w:spacing w:before="120" w:after="120"/>
        <w:ind w:left="284" w:right="0" w:hanging="0"/>
        <w:contextualSpacing/>
        <w:jc w:val="both"/>
        <w:rPr>
          <w:rFonts w:ascii="Calibri Light" w:hAnsi="Calibri Light"/>
        </w:rPr>
      </w:pPr>
      <w:r>
        <w:rPr>
          <w:rFonts w:ascii="Calibri Light" w:hAnsi="Calibri Light"/>
          <w:i w:val="false"/>
          <w:iCs w:val="false"/>
          <w:color w:val="000000"/>
          <w:sz w:val="24"/>
          <w:szCs w:val="24"/>
        </w:rPr>
        <w:t>Data de publicação no PNCP: 30/04/2024;</w:t>
      </w:r>
    </w:p>
    <w:p>
      <w:pPr>
        <w:pStyle w:val="ListParagraph"/>
        <w:numPr>
          <w:ilvl w:val="0"/>
          <w:numId w:val="7"/>
        </w:numPr>
        <w:spacing w:before="120" w:after="120"/>
        <w:ind w:left="284" w:right="0" w:hanging="0"/>
        <w:contextualSpacing/>
        <w:jc w:val="both"/>
        <w:rPr>
          <w:rFonts w:ascii="Calibri Light" w:hAnsi="Calibri Light"/>
        </w:rPr>
      </w:pPr>
      <w:r>
        <w:rPr>
          <w:rFonts w:ascii="Calibri Light" w:hAnsi="Calibri Light"/>
          <w:i w:val="false"/>
          <w:iCs w:val="false"/>
          <w:color w:val="000000"/>
          <w:sz w:val="24"/>
          <w:szCs w:val="24"/>
        </w:rPr>
        <w:t>Id do item no PCA: 288, 290.</w:t>
      </w:r>
    </w:p>
    <w:p>
      <w:pPr>
        <w:pStyle w:val="ListParagraph"/>
        <w:numPr>
          <w:ilvl w:val="0"/>
          <w:numId w:val="7"/>
        </w:numPr>
        <w:spacing w:before="120" w:after="120"/>
        <w:ind w:left="284" w:right="0" w:hanging="0"/>
        <w:contextualSpacing/>
        <w:jc w:val="both"/>
        <w:rPr>
          <w:rFonts w:ascii="Calibri Light" w:hAnsi="Calibri Light"/>
        </w:rPr>
      </w:pPr>
      <w:r>
        <w:rPr>
          <w:rFonts w:ascii="Calibri Light" w:hAnsi="Calibri Light"/>
          <w:i w:val="false"/>
          <w:iCs w:val="false"/>
          <w:color w:val="000000"/>
          <w:sz w:val="24"/>
          <w:szCs w:val="24"/>
        </w:rPr>
        <w:t>Classe/Grupo: 6515, 6520.</w:t>
      </w:r>
    </w:p>
    <w:p>
      <w:pPr>
        <w:pStyle w:val="ListParagraph"/>
        <w:numPr>
          <w:ilvl w:val="0"/>
          <w:numId w:val="7"/>
        </w:numPr>
        <w:spacing w:before="120" w:after="120"/>
        <w:ind w:left="284" w:right="0" w:hanging="0"/>
        <w:contextualSpacing/>
        <w:jc w:val="both"/>
        <w:rPr>
          <w:rFonts w:ascii="Calibri Light" w:hAnsi="Calibri Light"/>
        </w:rPr>
      </w:pPr>
      <w:r>
        <w:rPr>
          <w:rFonts w:ascii="Calibri Light" w:hAnsi="Calibri Light"/>
          <w:i w:val="false"/>
          <w:iCs w:val="false"/>
          <w:color w:val="000000"/>
          <w:sz w:val="24"/>
          <w:szCs w:val="24"/>
        </w:rPr>
        <w:t>Identificador da Futura Contratação: 160081-47/2025.</w:t>
      </w:r>
    </w:p>
    <w:p>
      <w:pPr>
        <w:pStyle w:val="Nivel01"/>
        <w:numPr>
          <w:ilvl w:val="0"/>
          <w:numId w:val="3"/>
        </w:numPr>
        <w:ind w:left="357" w:right="0" w:hanging="357"/>
        <w:rPr>
          <w:rFonts w:ascii="Calibri Light" w:hAnsi="Calibri Light"/>
        </w:rPr>
      </w:pPr>
      <w:r>
        <w:rPr>
          <w:rFonts w:ascii="Calibri Light" w:hAnsi="Calibri Light"/>
          <w:i w:val="false"/>
          <w:iCs w:val="false"/>
          <w:color w:val="000000"/>
          <w:sz w:val="24"/>
          <w:szCs w:val="24"/>
        </w:rPr>
        <w:t>DESCRIÇÃO DA SOLUÇÃO COMO UM TODO CONSIDERADO O CICLO DE VIDA DO OBJETO E ESPECIFICAÇÃO DO PRODUTO</w:t>
      </w:r>
    </w:p>
    <w:p>
      <w:pPr>
        <w:pStyle w:val="Nvel02"/>
        <w:numPr>
          <w:ilvl w:val="1"/>
          <w:numId w:val="3"/>
        </w:numPr>
        <w:ind w:left="0" w:right="0" w:hanging="0"/>
        <w:rPr>
          <w:rFonts w:ascii="Calibri Light" w:hAnsi="Calibri Light"/>
        </w:rPr>
      </w:pPr>
      <w:bookmarkStart w:id="3" w:name="_Ref121236534"/>
      <w:r>
        <w:rPr>
          <w:rFonts w:ascii="Calibri Light" w:hAnsi="Calibri Light"/>
          <w:i w:val="false"/>
          <w:iCs w:val="false"/>
          <w:color w:val="000000"/>
          <w:sz w:val="24"/>
          <w:szCs w:val="24"/>
        </w:rPr>
        <w:t>A descrição da solução como um todo encontra-se pormenorizada em tópico específico dos Estudos Técnicos Preliminares, apêndice deste Termo de Referência.</w:t>
      </w:r>
      <w:bookmarkEnd w:id="3"/>
    </w:p>
    <w:p>
      <w:pPr>
        <w:pStyle w:val="Nivel01"/>
        <w:numPr>
          <w:ilvl w:val="0"/>
          <w:numId w:val="3"/>
        </w:numPr>
        <w:ind w:left="357" w:right="0" w:hanging="357"/>
        <w:rPr>
          <w:rFonts w:ascii="Calibri Light" w:hAnsi="Calibri Light"/>
        </w:rPr>
      </w:pPr>
      <w:r>
        <w:rPr>
          <w:rFonts w:ascii="Calibri Light" w:hAnsi="Calibri Light"/>
          <w:i w:val="false"/>
          <w:iCs w:val="false"/>
          <w:color w:val="000000"/>
          <w:sz w:val="24"/>
          <w:szCs w:val="24"/>
        </w:rPr>
        <w:t>REQUISITOS DA CONTRATAÇÃO</w:t>
      </w:r>
    </w:p>
    <w:p>
      <w:pPr>
        <w:pStyle w:val="Nvel1-SemNum"/>
        <w:ind w:left="0" w:right="0" w:hanging="0"/>
        <w:rPr>
          <w:rFonts w:ascii="Calibri Light" w:hAnsi="Calibri Light"/>
        </w:rPr>
      </w:pPr>
      <w:r>
        <w:rPr>
          <w:rFonts w:ascii="Calibri Light" w:hAnsi="Calibri Light"/>
          <w:i w:val="false"/>
          <w:iCs w:val="false"/>
          <w:color w:val="000000"/>
          <w:sz w:val="24"/>
          <w:szCs w:val="24"/>
        </w:rPr>
        <w:t>Sustentabilidade</w:t>
      </w:r>
    </w:p>
    <w:p>
      <w:pPr>
        <w:pStyle w:val="Nvel2-Opcional"/>
        <w:widowControl/>
        <w:numPr>
          <w:ilvl w:val="1"/>
          <w:numId w:val="3"/>
        </w:numPr>
        <w:shd w:val="clear" w:fill="auto"/>
        <w:suppressAutoHyphens w:val="true"/>
        <w:overflowPunct w:val="false"/>
        <w:bidi w:val="0"/>
        <w:spacing w:lineRule="auto" w:line="276" w:before="120" w:after="120"/>
        <w:ind w:left="1304" w:right="0" w:hanging="0"/>
        <w:jc w:val="both"/>
        <w:rPr>
          <w:sz w:val="24"/>
          <w:szCs w:val="24"/>
        </w:rPr>
      </w:pPr>
      <w:r>
        <w:rPr>
          <w:rFonts w:ascii="Calibri Light" w:hAnsi="Calibri Light"/>
          <w:i w:val="false"/>
          <w:iCs w:val="false"/>
          <w:color w:val="000000"/>
          <w:sz w:val="24"/>
          <w:szCs w:val="24"/>
        </w:rPr>
        <w:t>Além dos critérios de sustentabilidade eventualmente inseridos na descrição do objeto, devem ser atendidos os seguintes requisitos, que se baseiam no Guia Nacional de Contratações Sustentáveis:</w:t>
      </w:r>
    </w:p>
    <w:p>
      <w:pPr>
        <w:pStyle w:val="ListParagraph"/>
        <w:widowControl/>
        <w:numPr>
          <w:ilvl w:val="1"/>
          <w:numId w:val="3"/>
        </w:numPr>
        <w:tabs>
          <w:tab w:val="clear" w:pos="709"/>
          <w:tab w:val="left" w:pos="455" w:leader="none"/>
        </w:tabs>
        <w:suppressAutoHyphens w:val="true"/>
        <w:overflowPunct w:val="false"/>
        <w:bidi w:val="0"/>
        <w:spacing w:lineRule="auto" w:line="264" w:before="0" w:after="0"/>
        <w:ind w:left="1304" w:right="113" w:hanging="0"/>
        <w:contextualSpacing w:val="false"/>
        <w:jc w:val="both"/>
        <w:rPr>
          <w:b/>
          <w:bCs/>
          <w:sz w:val="24"/>
          <w:szCs w:val="24"/>
        </w:rPr>
      </w:pPr>
      <w:r>
        <w:rPr>
          <w:rFonts w:ascii="Calibri Light" w:hAnsi="Calibri Light"/>
          <w:b/>
          <w:bCs/>
          <w:i w:val="false"/>
          <w:iCs w:val="false"/>
          <w:color w:val="000000"/>
          <w:sz w:val="24"/>
          <w:szCs w:val="24"/>
        </w:rPr>
        <w:t>Só será admitida a oferta de produto previamente notificado/registrado na ANVISA, conforme a Lei nº 6.360, de 1976 e Decreto nº 8.077, de 2013.</w:t>
      </w:r>
    </w:p>
    <w:p>
      <w:pPr>
        <w:pStyle w:val="ListParagraph"/>
        <w:widowControl/>
        <w:numPr>
          <w:ilvl w:val="1"/>
          <w:numId w:val="3"/>
        </w:numPr>
        <w:tabs>
          <w:tab w:val="clear" w:pos="709"/>
          <w:tab w:val="left" w:pos="478" w:leader="none"/>
        </w:tabs>
        <w:suppressAutoHyphens w:val="true"/>
        <w:overflowPunct w:val="false"/>
        <w:bidi w:val="0"/>
        <w:spacing w:lineRule="auto" w:line="264" w:before="202" w:after="0"/>
        <w:ind w:left="1304" w:right="113" w:hanging="0"/>
        <w:contextualSpacing w:val="false"/>
        <w:jc w:val="both"/>
        <w:rPr/>
      </w:pPr>
      <w:r>
        <w:rPr>
          <w:rFonts w:ascii="Calibri Light" w:hAnsi="Calibri Light"/>
          <w:b/>
          <w:bCs/>
          <w:i w:val="false"/>
          <w:iCs w:val="false"/>
          <w:color w:val="000000"/>
          <w:sz w:val="24"/>
          <w:szCs w:val="24"/>
        </w:rPr>
        <w:t>Só será admitida a oferta de equipamentos, inclusive suas partes e acessórios, com finalidade médica, odontológica, laboratorial ou fisioterápica, utilizados direta ou indiretamente para diagnóstico, tratamento, reabilitação e monitoração em seres humanos, e equipamentos com finalidade de embelezamento e estética que, nos termos da Portaria INMETRO n° 384, de 18 de dezembro de 2020, cumpram os Requisitos de Avaliação da Conformidade e as Especificações para o Selo de Identificação da Conformidade para Equipamentos sob Regime de Vigilância Sanitária - Consolidado, fixados, respectivamente, nos Anexos I e</w:t>
      </w:r>
      <w:r>
        <w:rPr>
          <w:rFonts w:ascii="Calibri Light" w:hAnsi="Calibri Light"/>
          <w:b/>
          <w:bCs/>
          <w:i w:val="false"/>
          <w:iCs w:val="false"/>
          <w:color w:val="000000"/>
          <w:spacing w:val="80"/>
          <w:sz w:val="24"/>
          <w:szCs w:val="24"/>
        </w:rPr>
        <w:t xml:space="preserve"> </w:t>
      </w:r>
      <w:r>
        <w:rPr>
          <w:rFonts w:ascii="Calibri Light" w:hAnsi="Calibri Light"/>
          <w:b/>
          <w:bCs/>
          <w:i w:val="false"/>
          <w:iCs w:val="false"/>
          <w:color w:val="000000"/>
          <w:sz w:val="24"/>
          <w:szCs w:val="24"/>
        </w:rPr>
        <w:t xml:space="preserve">II, disponíveis em </w:t>
      </w:r>
      <w:hyperlink r:id="rId3">
        <w:r>
          <w:rPr>
            <w:rFonts w:ascii="Calibri Light" w:hAnsi="Calibri Light"/>
            <w:b/>
            <w:bCs/>
            <w:i w:val="false"/>
            <w:iCs w:val="false"/>
            <w:color w:val="000000"/>
            <w:sz w:val="24"/>
            <w:szCs w:val="24"/>
          </w:rPr>
          <w:t>http://www.inmetro.gov.br/legislacao.</w:t>
        </w:r>
      </w:hyperlink>
      <w:r>
        <w:rPr>
          <w:rFonts w:ascii="Calibri Light" w:hAnsi="Calibri Light"/>
          <w:b/>
          <w:bCs/>
          <w:i w:val="false"/>
          <w:iCs w:val="false"/>
          <w:color w:val="000000"/>
          <w:sz w:val="24"/>
          <w:szCs w:val="24"/>
        </w:rPr>
        <w:t xml:space="preserve"> (Encontram-se excluídos do escopo de abrangência desses Requisitos os equipamentos que não se enquadram na RDC Anvisa nº 549, de 31 de agosto 2021 ou substitutiva. Para os equipamentos que se enquadram, o Selo de Identificação da Conformidade do INMETRO será compulsório e deverá vir afixado no equipamento) (Em relação aos produtos cuja certificação é voluntária, é possível exigir o cumprimento dos requisitos técnicos previstos em normas do INMETRO, mas não se pode obrigar a apresentar a certificação do INMETRO (podem ser apresentadas certificações </w:t>
      </w:r>
      <w:r>
        <w:rPr>
          <w:rFonts w:ascii="Calibri Light" w:hAnsi="Calibri Light"/>
          <w:b/>
          <w:bCs/>
          <w:i w:val="false"/>
          <w:iCs w:val="false"/>
          <w:color w:val="000000"/>
          <w:spacing w:val="-2"/>
          <w:sz w:val="24"/>
          <w:szCs w:val="24"/>
        </w:rPr>
        <w:t>equivalentes).</w:t>
      </w:r>
    </w:p>
    <w:p>
      <w:pPr>
        <w:pStyle w:val="ListParagraph"/>
        <w:numPr>
          <w:ilvl w:val="0"/>
          <w:numId w:val="0"/>
        </w:numPr>
        <w:tabs>
          <w:tab w:val="clear" w:pos="709"/>
          <w:tab w:val="left" w:pos="478" w:leader="none"/>
        </w:tabs>
        <w:spacing w:lineRule="auto" w:line="264" w:before="202" w:after="0"/>
        <w:ind w:left="121" w:right="118" w:hanging="0"/>
        <w:contextualSpacing w:val="false"/>
        <w:jc w:val="both"/>
        <w:rPr>
          <w:sz w:val="24"/>
          <w:szCs w:val="24"/>
        </w:rPr>
      </w:pPr>
      <w:r>
        <w:rPr>
          <w:rFonts w:ascii="Calibri Light" w:hAnsi="Calibri Light"/>
          <w:i w:val="false"/>
          <w:iCs w:val="false"/>
          <w:color w:val="000000"/>
          <w:spacing w:val="-2"/>
          <w:sz w:val="24"/>
          <w:szCs w:val="24"/>
        </w:rPr>
        <w:t>Obrigações da Contratada:</w:t>
      </w:r>
    </w:p>
    <w:p>
      <w:pPr>
        <w:pStyle w:val="ListParagraph"/>
        <w:numPr>
          <w:ilvl w:val="0"/>
          <w:numId w:val="0"/>
        </w:numPr>
        <w:tabs>
          <w:tab w:val="clear" w:pos="709"/>
          <w:tab w:val="left" w:pos="442" w:leader="none"/>
        </w:tabs>
        <w:spacing w:lineRule="auto" w:line="264" w:before="0" w:after="0"/>
        <w:ind w:left="0" w:right="119" w:hanging="0"/>
        <w:contextualSpacing w:val="false"/>
        <w:jc w:val="both"/>
        <w:rPr>
          <w:rFonts w:ascii="Calibri Light" w:hAnsi="Calibri Light"/>
          <w:i w:val="false"/>
          <w:i w:val="false"/>
          <w:iCs w:val="false"/>
          <w:color w:val="000000"/>
          <w:spacing w:val="-2"/>
        </w:rPr>
      </w:pPr>
      <w:r>
        <w:rPr>
          <w:rFonts w:ascii="Calibri Light" w:hAnsi="Calibri Light"/>
          <w:i w:val="false"/>
          <w:iCs w:val="false"/>
          <w:color w:val="000000"/>
          <w:spacing w:val="-2"/>
        </w:rPr>
      </w:r>
    </w:p>
    <w:p>
      <w:pPr>
        <w:pStyle w:val="ListParagraph"/>
        <w:widowControl/>
        <w:numPr>
          <w:ilvl w:val="1"/>
          <w:numId w:val="3"/>
        </w:numPr>
        <w:tabs>
          <w:tab w:val="clear" w:pos="709"/>
          <w:tab w:val="left" w:pos="442" w:leader="none"/>
        </w:tabs>
        <w:suppressAutoHyphens w:val="true"/>
        <w:overflowPunct w:val="false"/>
        <w:bidi w:val="0"/>
        <w:spacing w:lineRule="auto" w:line="264" w:before="0" w:after="0"/>
        <w:ind w:left="1304" w:right="113" w:hanging="0"/>
        <w:contextualSpacing w:val="false"/>
        <w:jc w:val="both"/>
        <w:rPr>
          <w:b/>
          <w:bCs/>
          <w:sz w:val="24"/>
          <w:szCs w:val="24"/>
        </w:rPr>
      </w:pPr>
      <w:r>
        <w:rPr>
          <w:rFonts w:ascii="Calibri Light" w:hAnsi="Calibri Light"/>
          <w:b/>
          <w:bCs/>
          <w:i w:val="false"/>
          <w:iCs w:val="false"/>
          <w:color w:val="000000"/>
          <w:spacing w:val="-2"/>
          <w:sz w:val="24"/>
          <w:szCs w:val="24"/>
        </w:rPr>
        <w:t>A contratada deverá apresentar o Certificado de Boas Práticas de Fabricação (CBPF) para os produtos abrangidos pela RDC nº497, de 20 de maio de 2021”.</w:t>
      </w:r>
    </w:p>
    <w:p>
      <w:pPr>
        <w:pStyle w:val="Normal"/>
        <w:numPr>
          <w:ilvl w:val="0"/>
          <w:numId w:val="0"/>
        </w:numPr>
        <w:ind w:left="284" w:right="0" w:hanging="0"/>
        <w:rPr>
          <w:rFonts w:ascii="Calibri Light" w:hAnsi="Calibri Light"/>
        </w:rPr>
      </w:pPr>
      <w:r>
        <w:rPr>
          <w:rFonts w:ascii="Calibri Light" w:hAnsi="Calibri Light"/>
        </w:rPr>
      </w:r>
    </w:p>
    <w:p>
      <w:pPr>
        <w:pStyle w:val="Nvel1-SemNum"/>
        <w:ind w:left="0" w:right="0" w:hanging="0"/>
        <w:rPr>
          <w:rFonts w:ascii="Calibri Light" w:hAnsi="Calibri Light"/>
        </w:rPr>
      </w:pPr>
      <w:r>
        <w:rPr>
          <w:rFonts w:ascii="Calibri Light" w:hAnsi="Calibri Light"/>
          <w:i w:val="false"/>
          <w:iCs w:val="false"/>
          <w:color w:val="000000"/>
          <w:sz w:val="24"/>
          <w:szCs w:val="24"/>
        </w:rPr>
        <w:t>Da exigência de amostra</w:t>
      </w:r>
    </w:p>
    <w:p>
      <w:pPr>
        <w:pStyle w:val="Nvel2-Opcional"/>
        <w:numPr>
          <w:ilvl w:val="1"/>
          <w:numId w:val="3"/>
        </w:numPr>
        <w:ind w:left="1709" w:right="0" w:hanging="432"/>
        <w:rPr>
          <w:rFonts w:ascii="Calibri Light" w:hAnsi="Calibri Light"/>
        </w:rPr>
      </w:pPr>
      <w:r>
        <w:rPr>
          <w:rFonts w:ascii="Calibri Light" w:hAnsi="Calibri Light"/>
          <w:i w:val="false"/>
          <w:iCs w:val="false"/>
          <w:color w:val="000000"/>
          <w:sz w:val="24"/>
          <w:szCs w:val="24"/>
        </w:rPr>
        <w:t>Não será exigido amostra.</w:t>
      </w:r>
    </w:p>
    <w:p>
      <w:pPr>
        <w:pStyle w:val="Nvel1-SemNumerao"/>
        <w:ind w:left="0" w:right="0" w:hanging="0"/>
        <w:rPr>
          <w:rFonts w:ascii="Calibri Light" w:hAnsi="Calibri Light"/>
        </w:rPr>
      </w:pPr>
      <w:r>
        <w:rPr>
          <w:rFonts w:ascii="Calibri Light" w:hAnsi="Calibri Light"/>
          <w:i w:val="false"/>
          <w:iCs w:val="false"/>
          <w:color w:val="000000"/>
          <w:sz w:val="24"/>
          <w:szCs w:val="24"/>
        </w:rPr>
        <w:t>Subcontratação</w:t>
      </w:r>
    </w:p>
    <w:p>
      <w:pPr>
        <w:pStyle w:val="Nvel2-Opcional"/>
        <w:numPr>
          <w:ilvl w:val="1"/>
          <w:numId w:val="3"/>
        </w:numPr>
        <w:ind w:left="1709" w:right="0" w:hanging="432"/>
        <w:rPr>
          <w:rFonts w:ascii="Calibri Light" w:hAnsi="Calibri Light"/>
        </w:rPr>
      </w:pPr>
      <w:r>
        <w:rPr>
          <w:rFonts w:ascii="Calibri Light" w:hAnsi="Calibri Light"/>
          <w:i w:val="false"/>
          <w:iCs w:val="false"/>
          <w:color w:val="000000"/>
          <w:sz w:val="24"/>
          <w:szCs w:val="24"/>
        </w:rPr>
        <w:t>Não será admitida a subcontratação do objeto contratual.</w:t>
      </w:r>
    </w:p>
    <w:p>
      <w:pPr>
        <w:pStyle w:val="Nvel1-SemNumerao"/>
        <w:ind w:left="0" w:right="0" w:hanging="0"/>
        <w:rPr>
          <w:rFonts w:ascii="Calibri Light" w:hAnsi="Calibri Light"/>
        </w:rPr>
      </w:pPr>
      <w:r>
        <w:rPr>
          <w:rFonts w:ascii="Calibri Light" w:hAnsi="Calibri Light"/>
          <w:i w:val="false"/>
          <w:iCs w:val="false"/>
          <w:color w:val="000000"/>
          <w:sz w:val="24"/>
          <w:szCs w:val="24"/>
        </w:rPr>
        <w:t>Garantia da contratação</w:t>
      </w:r>
    </w:p>
    <w:p>
      <w:pPr>
        <w:pStyle w:val="Nvel2-Opcional"/>
        <w:numPr>
          <w:ilvl w:val="1"/>
          <w:numId w:val="3"/>
        </w:numPr>
        <w:ind w:left="1709" w:right="0" w:hanging="432"/>
        <w:rPr>
          <w:rFonts w:ascii="Calibri Light" w:hAnsi="Calibri Light"/>
        </w:rPr>
      </w:pPr>
      <w:bookmarkStart w:id="4" w:name="_Hlk170740922"/>
      <w:r>
        <w:rPr>
          <w:rFonts w:ascii="Calibri Light" w:hAnsi="Calibri Light"/>
          <w:i w:val="false"/>
          <w:iCs w:val="false"/>
          <w:color w:val="000000"/>
          <w:sz w:val="24"/>
          <w:szCs w:val="24"/>
        </w:rPr>
        <w:t>Não haverá exigência da garantia da contratação dos art. 96 e seguintes da Lei nº 14.133, de 2021, pelas razões constantes do Estudo Técnico Preliminar.</w:t>
      </w:r>
      <w:bookmarkEnd w:id="4"/>
    </w:p>
    <w:p>
      <w:pPr>
        <w:pStyle w:val="Nivel01"/>
        <w:numPr>
          <w:ilvl w:val="0"/>
          <w:numId w:val="3"/>
        </w:numPr>
        <w:ind w:left="357" w:right="0" w:hanging="357"/>
        <w:rPr>
          <w:rFonts w:ascii="Calibri Light" w:hAnsi="Calibri Light"/>
        </w:rPr>
      </w:pPr>
      <w:r>
        <w:rPr>
          <w:rFonts w:ascii="Calibri Light" w:hAnsi="Calibri Light"/>
          <w:i w:val="false"/>
          <w:iCs w:val="false"/>
          <w:color w:val="000000"/>
          <w:sz w:val="24"/>
          <w:szCs w:val="24"/>
        </w:rPr>
        <w:t>MODELO DE EXECUÇÃO DO OBJETO</w:t>
      </w:r>
    </w:p>
    <w:p>
      <w:pPr>
        <w:pStyle w:val="Nvel1-SemNumerao"/>
        <w:ind w:left="0" w:right="0" w:hanging="0"/>
        <w:rPr>
          <w:rFonts w:ascii="Calibri Light" w:hAnsi="Calibri Light"/>
        </w:rPr>
      </w:pPr>
      <w:r>
        <w:rPr>
          <w:rFonts w:ascii="Calibri Light" w:hAnsi="Calibri Light"/>
          <w:i w:val="false"/>
          <w:iCs w:val="false"/>
          <w:color w:val="000000"/>
          <w:sz w:val="24"/>
          <w:szCs w:val="24"/>
        </w:rPr>
        <w:t>Condições de Entrega</w:t>
      </w:r>
    </w:p>
    <w:p>
      <w:pPr>
        <w:pStyle w:val="Nvel2-Opcional"/>
        <w:numPr>
          <w:ilvl w:val="1"/>
          <w:numId w:val="3"/>
        </w:numPr>
        <w:ind w:left="1709" w:right="0" w:hanging="432"/>
        <w:rPr>
          <w:rFonts w:ascii="Calibri Light" w:hAnsi="Calibri Light"/>
        </w:rPr>
      </w:pPr>
      <w:r>
        <w:rPr>
          <w:rFonts w:ascii="Calibri Light" w:hAnsi="Calibri Light"/>
          <w:i w:val="false"/>
          <w:iCs w:val="false"/>
          <w:color w:val="000000"/>
          <w:sz w:val="24"/>
          <w:szCs w:val="24"/>
        </w:rPr>
        <w:t xml:space="preserve">O prazo de entrega dos bens é de 30 (trinta) dias, contados do recebimento da Nota de Empenho, em remessa única. </w:t>
      </w:r>
    </w:p>
    <w:p>
      <w:pPr>
        <w:pStyle w:val="Nvel2-Opcional"/>
        <w:numPr>
          <w:ilvl w:val="1"/>
          <w:numId w:val="3"/>
        </w:numPr>
        <w:ind w:left="1709" w:right="0" w:hanging="432"/>
        <w:rPr>
          <w:rFonts w:ascii="Calibri Light" w:hAnsi="Calibri Light"/>
        </w:rPr>
      </w:pPr>
      <w:r>
        <w:rPr>
          <w:rFonts w:ascii="Calibri Light" w:hAnsi="Calibri Light"/>
          <w:i w:val="false"/>
          <w:iCs w:val="false"/>
          <w:color w:val="000000"/>
          <w:sz w:val="24"/>
          <w:szCs w:val="24"/>
        </w:rPr>
        <w:t xml:space="preserve">Os bens deverão ser entregues no seguinte endereço; 23º Esquadrão de Cavalaria de Selva - Avenida dos Amazônidas, S/Nº, Vila Permanente, Tucuruí-PA, CEP: 68455-664. </w:t>
      </w:r>
    </w:p>
    <w:p>
      <w:pPr>
        <w:pStyle w:val="Nvel1-SemNumerao"/>
        <w:ind w:left="0" w:right="0" w:hanging="0"/>
        <w:rPr>
          <w:rFonts w:ascii="Calibri Light" w:hAnsi="Calibri Light"/>
        </w:rPr>
      </w:pPr>
      <w:r>
        <w:rPr>
          <w:rFonts w:ascii="Calibri Light" w:hAnsi="Calibri Light"/>
          <w:i w:val="false"/>
          <w:iCs w:val="false"/>
          <w:color w:val="000000"/>
          <w:sz w:val="24"/>
          <w:szCs w:val="24"/>
        </w:rPr>
        <w:t>Garantia, manutenção e assistência técnica</w:t>
      </w:r>
    </w:p>
    <w:p>
      <w:pPr>
        <w:pStyle w:val="ListParagraph"/>
        <w:numPr>
          <w:ilvl w:val="1"/>
          <w:numId w:val="3"/>
        </w:numPr>
        <w:tabs>
          <w:tab w:val="clear" w:pos="709"/>
          <w:tab w:val="left" w:pos="445" w:leader="none"/>
        </w:tabs>
        <w:spacing w:lineRule="auto" w:line="264" w:before="202" w:after="0"/>
        <w:ind w:left="121" w:right="119" w:hanging="0"/>
        <w:contextualSpacing w:val="false"/>
        <w:jc w:val="both"/>
        <w:rPr>
          <w:b/>
          <w:bCs/>
          <w:sz w:val="24"/>
          <w:szCs w:val="24"/>
        </w:rPr>
      </w:pPr>
      <w:r>
        <w:rPr>
          <w:rFonts w:ascii="Calibri Light" w:hAnsi="Calibri Light"/>
          <w:b/>
          <w:bCs/>
          <w:i w:val="false"/>
          <w:iCs w:val="false"/>
          <w:color w:val="000000"/>
          <w:sz w:val="24"/>
          <w:szCs w:val="24"/>
        </w:rPr>
        <w:t>Todos os materiais deverão estar dentro do prazo de validade estipulado no termo de referência, constantes nas embalagens originais dos fabricantes dos produtos, com as datas de validade não inferiores a 12 (doze) meses, ou 70% do prazo total recomendado pelo fabricante a contar da data do recebimento dos mesmos. No caso de produtos perecíveis (termolábeis), o prazo de validade na data da entrega não poderás er inferior a dois terços do prazo total recomendado pelo fabricante;</w:t>
      </w:r>
    </w:p>
    <w:p>
      <w:pPr>
        <w:pStyle w:val="ListParagraph"/>
        <w:numPr>
          <w:ilvl w:val="1"/>
          <w:numId w:val="3"/>
        </w:numPr>
        <w:tabs>
          <w:tab w:val="clear" w:pos="709"/>
          <w:tab w:val="left" w:pos="488" w:leader="none"/>
        </w:tabs>
        <w:spacing w:lineRule="auto" w:line="264" w:before="202" w:after="0"/>
        <w:ind w:left="121" w:right="119" w:hanging="0"/>
        <w:contextualSpacing w:val="false"/>
        <w:jc w:val="both"/>
        <w:rPr>
          <w:b/>
          <w:bCs/>
          <w:sz w:val="24"/>
          <w:szCs w:val="24"/>
        </w:rPr>
      </w:pPr>
      <w:r>
        <w:rPr>
          <w:rFonts w:ascii="Calibri Light" w:hAnsi="Calibri Light"/>
          <w:b/>
          <w:bCs/>
          <w:i w:val="false"/>
          <w:iCs w:val="false"/>
          <w:color w:val="000000"/>
          <w:sz w:val="24"/>
          <w:szCs w:val="24"/>
        </w:rPr>
        <w:t>Os bens serão recebidos provisoriamente no prazo de 02 (dois) dias, pelo(a) responsável pelo acompanhamento e</w:t>
      </w:r>
      <w:r>
        <w:rPr>
          <w:rFonts w:ascii="Calibri Light" w:hAnsi="Calibri Light"/>
          <w:b/>
          <w:bCs/>
          <w:i w:val="false"/>
          <w:iCs w:val="false"/>
          <w:color w:val="000000"/>
          <w:spacing w:val="40"/>
          <w:sz w:val="24"/>
          <w:szCs w:val="24"/>
        </w:rPr>
        <w:t xml:space="preserve"> </w:t>
      </w:r>
      <w:r>
        <w:rPr>
          <w:rFonts w:ascii="Calibri Light" w:hAnsi="Calibri Light"/>
          <w:b/>
          <w:bCs/>
          <w:i w:val="false"/>
          <w:iCs w:val="false"/>
          <w:color w:val="000000"/>
          <w:sz w:val="24"/>
          <w:szCs w:val="24"/>
        </w:rPr>
        <w:t>fiscalização do contrato, para efeito de posterior verificação de sua conformidade com as especificações constantes neste Termo</w:t>
      </w:r>
      <w:r>
        <w:rPr>
          <w:rFonts w:ascii="Calibri Light" w:hAnsi="Calibri Light"/>
          <w:b/>
          <w:bCs/>
          <w:i w:val="false"/>
          <w:iCs w:val="false"/>
          <w:color w:val="000000"/>
          <w:spacing w:val="40"/>
          <w:sz w:val="24"/>
          <w:szCs w:val="24"/>
        </w:rPr>
        <w:t xml:space="preserve"> </w:t>
      </w:r>
      <w:r>
        <w:rPr>
          <w:rFonts w:ascii="Calibri Light" w:hAnsi="Calibri Light"/>
          <w:b/>
          <w:bCs/>
          <w:i w:val="false"/>
          <w:iCs w:val="false"/>
          <w:color w:val="000000"/>
          <w:sz w:val="24"/>
          <w:szCs w:val="24"/>
        </w:rPr>
        <w:t>de Referência e na proposta;</w:t>
      </w:r>
    </w:p>
    <w:p>
      <w:pPr>
        <w:pStyle w:val="ListParagraph"/>
        <w:numPr>
          <w:ilvl w:val="1"/>
          <w:numId w:val="3"/>
        </w:numPr>
        <w:tabs>
          <w:tab w:val="clear" w:pos="709"/>
          <w:tab w:val="left" w:pos="440" w:leader="none"/>
        </w:tabs>
        <w:spacing w:lineRule="auto" w:line="264" w:before="201" w:after="0"/>
        <w:ind w:left="121" w:right="119" w:hanging="0"/>
        <w:contextualSpacing w:val="false"/>
        <w:jc w:val="both"/>
        <w:rPr>
          <w:b/>
          <w:bCs/>
          <w:sz w:val="24"/>
          <w:szCs w:val="24"/>
        </w:rPr>
      </w:pPr>
      <w:r>
        <w:rPr>
          <w:rFonts w:ascii="Calibri Light" w:hAnsi="Calibri Light"/>
          <w:b/>
          <w:bCs/>
          <w:i w:val="false"/>
          <w:iCs w:val="false"/>
          <w:color w:val="000000"/>
          <w:sz w:val="24"/>
          <w:szCs w:val="24"/>
        </w:rPr>
        <w:t>Os bens poderão ser rejeitados, no todo ou em parte, quando em desacordo com as especificações constantes neste Termo de Referência e na proposta, devendo ser substituídos no prazo de 5 (cinco) dias, a contar da notificação da contratada, às suas</w:t>
      </w:r>
      <w:r>
        <w:rPr>
          <w:rFonts w:ascii="Calibri Light" w:hAnsi="Calibri Light"/>
          <w:b/>
          <w:bCs/>
          <w:i w:val="false"/>
          <w:iCs w:val="false"/>
          <w:color w:val="000000"/>
          <w:spacing w:val="40"/>
          <w:sz w:val="24"/>
          <w:szCs w:val="24"/>
        </w:rPr>
        <w:t xml:space="preserve"> </w:t>
      </w:r>
      <w:r>
        <w:rPr>
          <w:rFonts w:ascii="Calibri Light" w:hAnsi="Calibri Light"/>
          <w:b/>
          <w:bCs/>
          <w:i w:val="false"/>
          <w:iCs w:val="false"/>
          <w:color w:val="000000"/>
          <w:sz w:val="24"/>
          <w:szCs w:val="24"/>
        </w:rPr>
        <w:t>custas, sem prejuízo da aplicação das penalidades.</w:t>
      </w:r>
    </w:p>
    <w:p>
      <w:pPr>
        <w:pStyle w:val="Nivel01"/>
        <w:numPr>
          <w:ilvl w:val="0"/>
          <w:numId w:val="3"/>
        </w:numPr>
        <w:ind w:left="357" w:right="0" w:hanging="357"/>
        <w:rPr>
          <w:rFonts w:ascii="Calibri Light" w:hAnsi="Calibri Light"/>
        </w:rPr>
      </w:pPr>
      <w:r>
        <w:rPr>
          <w:rFonts w:ascii="Calibri Light" w:hAnsi="Calibri Light"/>
          <w:i w:val="false"/>
          <w:iCs w:val="false"/>
          <w:color w:val="000000"/>
          <w:sz w:val="24"/>
          <w:szCs w:val="24"/>
        </w:rPr>
        <w:t>MODELO DE GESTÃO DO CONTRATO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 contrato deverá ser executado fielmente pelas partes, de acordo com as cláusulas avençadas e as normas da Lei nº 14.133, de 2021, e cada parte responderá pelas consequências de sua inexecução total ou parcial.</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Em caso de impedimento, ordem de paralisação ou suspensão do contrato, o cronograma de execução será prorrogado automaticamente pelo tempo correspondente, anotadas tais circunstâncias mediante simples apostila.</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As comunicações entre o órgão ou entidade e a contratada devem ser realizadas por escrito sempre que o ato exigir tal formalidade, admitindo-se o uso de mensagem eletrônica para esse fim.</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 órgão ou entidade poderá convocar representante da empresa para adoção de providências que devam ser cumpridas de imediato.</w:t>
      </w:r>
    </w:p>
    <w:p>
      <w:pPr>
        <w:pStyle w:val="Nvel2-Opcional"/>
        <w:numPr>
          <w:ilvl w:val="1"/>
          <w:numId w:val="3"/>
        </w:numPr>
        <w:ind w:left="1709" w:right="0" w:hanging="432"/>
        <w:rPr>
          <w:rFonts w:ascii="Calibri Light" w:hAnsi="Calibri Light"/>
        </w:rPr>
      </w:pPr>
      <w:r>
        <w:rPr>
          <w:rFonts w:ascii="Calibri Light" w:hAnsi="Calibri Light"/>
          <w:i w:val="false"/>
          <w:iCs w:val="false"/>
          <w:color w:val="000000"/>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vel1-SemNumerao"/>
        <w:ind w:left="0" w:right="0" w:hanging="0"/>
        <w:rPr>
          <w:rFonts w:ascii="Calibri Light" w:hAnsi="Calibri Light"/>
        </w:rPr>
      </w:pPr>
      <w:r>
        <w:rPr>
          <w:rFonts w:ascii="Calibri Light" w:hAnsi="Calibri Light"/>
          <w:i w:val="false"/>
          <w:iCs w:val="false"/>
          <w:color w:val="000000"/>
          <w:sz w:val="24"/>
          <w:szCs w:val="24"/>
        </w:rPr>
        <w:t>Fiscalização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A execução do contrato deverá ser acompanhada e fiscalizada pelo(s) fiscal(is) do contrato, ou pelos respectivos substitutos.</w:t>
      </w:r>
    </w:p>
    <w:p>
      <w:pPr>
        <w:pStyle w:val="Nvel1-SemNumerao"/>
        <w:ind w:left="0" w:right="0" w:hanging="0"/>
        <w:rPr>
          <w:rFonts w:ascii="Calibri Light" w:hAnsi="Calibri Light"/>
        </w:rPr>
      </w:pPr>
      <w:r>
        <w:rPr>
          <w:rFonts w:ascii="Calibri Light" w:hAnsi="Calibri Light"/>
          <w:i w:val="false"/>
          <w:iCs w:val="false"/>
          <w:color w:val="000000"/>
          <w:sz w:val="24"/>
          <w:szCs w:val="24"/>
        </w:rPr>
        <w:t>Fiscalização Técnica</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 fiscal técnico do contrato acompanhará a execução do contrato, para que sejam cumpridas todas as condições estabelecidas no contrato, de modo a assegurar os melhores resultados para a Administração.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Identificada qualquer inexatidão ou irregularidade, o fiscal técnico do contrato emitirá notificações para a correção da execução do contrato, determinando prazo para a correção.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 fiscal técnico do contrato informará ao gestor do contato, em tempo hábil, a situação que demandar decisão ou adoção de medidas que ultrapassem sua competência, para que adote as medidas necessárias e saneadoras, se for o caso.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No caso de ocorrências que possam inviabilizar a execução do contrato nas datas aprazadas, o fiscal técnico do contrato comunicará o fato imediatamente ao gestor do contrato.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 fiscal técnico do contrato comunicará ao gestor do contrato, em tempo hábil, o término do contrato sob sua responsabilidade, com vistas à renovação tempestiva ou à prorrogação contratual.</w:t>
      </w:r>
    </w:p>
    <w:p>
      <w:pPr>
        <w:pStyle w:val="Nvel1-SemNumerao"/>
        <w:ind w:left="0" w:right="0" w:hanging="0"/>
        <w:rPr>
          <w:rFonts w:ascii="Calibri Light" w:hAnsi="Calibri Light"/>
        </w:rPr>
      </w:pPr>
      <w:r>
        <w:rPr>
          <w:rFonts w:ascii="Calibri Light" w:hAnsi="Calibri Light"/>
          <w:i w:val="false"/>
          <w:iCs w:val="false"/>
          <w:color w:val="000000"/>
          <w:sz w:val="24"/>
          <w:szCs w:val="24"/>
        </w:rPr>
        <w:t>Fiscalização Administrativa</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pPr>
        <w:pStyle w:val="Nvel1-SemNumerao"/>
        <w:ind w:left="0" w:right="0" w:hanging="0"/>
        <w:rPr>
          <w:rFonts w:ascii="Calibri Light" w:hAnsi="Calibri Light"/>
        </w:rPr>
      </w:pPr>
      <w:r>
        <w:rPr>
          <w:rFonts w:ascii="Calibri Light" w:hAnsi="Calibri Light"/>
          <w:i w:val="false"/>
          <w:iCs w:val="false"/>
          <w:color w:val="000000"/>
          <w:sz w:val="24"/>
          <w:szCs w:val="24"/>
        </w:rPr>
        <w:t>Gestor do Contrato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Cabe ao gestor do contrato:</w:t>
      </w:r>
    </w:p>
    <w:p>
      <w:pPr>
        <w:pStyle w:val="Nivel3"/>
        <w:numPr>
          <w:ilvl w:val="2"/>
          <w:numId w:val="109"/>
        </w:numPr>
        <w:ind w:left="284" w:right="0" w:hanging="0"/>
        <w:rPr>
          <w:rFonts w:ascii="Calibri Light" w:hAnsi="Calibri Light"/>
        </w:rPr>
      </w:pPr>
      <w:r>
        <w:rPr>
          <w:rFonts w:ascii="Calibri Light" w:hAnsi="Calibri Light"/>
          <w:i w:val="false"/>
          <w:iCs w:val="false"/>
          <w:color w:val="000000"/>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pPr>
        <w:pStyle w:val="Nivel3"/>
        <w:numPr>
          <w:ilvl w:val="2"/>
          <w:numId w:val="110"/>
        </w:numPr>
        <w:ind w:left="284" w:right="0" w:hanging="0"/>
        <w:rPr>
          <w:rFonts w:ascii="Calibri Light" w:hAnsi="Calibri Light"/>
        </w:rPr>
      </w:pPr>
      <w:r>
        <w:rPr>
          <w:rFonts w:ascii="Calibri Light" w:hAnsi="Calibri Light"/>
          <w:i w:val="false"/>
          <w:iCs w:val="false"/>
          <w:color w:val="000000"/>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pPr>
        <w:pStyle w:val="Nivel3"/>
        <w:numPr>
          <w:ilvl w:val="2"/>
          <w:numId w:val="111"/>
        </w:numPr>
        <w:ind w:left="284" w:right="0" w:hanging="0"/>
        <w:rPr>
          <w:rFonts w:ascii="Calibri Light" w:hAnsi="Calibri Light"/>
        </w:rPr>
      </w:pPr>
      <w:r>
        <w:rPr>
          <w:rFonts w:ascii="Calibri Light" w:hAnsi="Calibri Light"/>
          <w:i w:val="false"/>
          <w:iCs w:val="false"/>
          <w:color w:val="000000"/>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pPr>
        <w:pStyle w:val="Nivel3"/>
        <w:numPr>
          <w:ilvl w:val="2"/>
          <w:numId w:val="112"/>
        </w:numPr>
        <w:ind w:left="284" w:right="0" w:hanging="0"/>
        <w:rPr>
          <w:rFonts w:ascii="Calibri Light" w:hAnsi="Calibri Light"/>
        </w:rPr>
      </w:pPr>
      <w:r>
        <w:rPr>
          <w:rFonts w:ascii="Calibri Light" w:hAnsi="Calibri Light"/>
          <w:i w:val="false"/>
          <w:iCs w:val="false"/>
          <w:color w:val="000000"/>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pPr>
        <w:pStyle w:val="Nivel3"/>
        <w:numPr>
          <w:ilvl w:val="2"/>
          <w:numId w:val="113"/>
        </w:numPr>
        <w:ind w:left="284" w:right="0" w:hanging="0"/>
        <w:rPr>
          <w:rFonts w:ascii="Calibri Light" w:hAnsi="Calibri Light"/>
        </w:rPr>
      </w:pPr>
      <w:r>
        <w:rPr>
          <w:rFonts w:ascii="Calibri Light" w:hAnsi="Calibri Light"/>
          <w:i w:val="false"/>
          <w:iCs w:val="false"/>
          <w:color w:val="000000"/>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pPr>
        <w:pStyle w:val="Nivel3"/>
        <w:numPr>
          <w:ilvl w:val="2"/>
          <w:numId w:val="114"/>
        </w:numPr>
        <w:ind w:left="284" w:right="0" w:hanging="0"/>
        <w:rPr>
          <w:rFonts w:ascii="Calibri Light" w:hAnsi="Calibri Light"/>
        </w:rPr>
      </w:pPr>
      <w:r>
        <w:rPr>
          <w:rFonts w:ascii="Calibri Light" w:hAnsi="Calibri Light"/>
          <w:i w:val="false"/>
          <w:iCs w:val="false"/>
          <w:color w:val="000000"/>
          <w:sz w:val="24"/>
          <w:szCs w:val="24"/>
        </w:rPr>
        <w:t>elaborar relatório final com informações sobre a consecução dos objetivos que tenham justificado a contratação e eventuais condutas a serem adotadas para o aprimoramento das atividades da Administração.</w:t>
      </w:r>
    </w:p>
    <w:p>
      <w:pPr>
        <w:pStyle w:val="Nivel3"/>
        <w:numPr>
          <w:ilvl w:val="2"/>
          <w:numId w:val="115"/>
        </w:numPr>
        <w:ind w:left="284" w:right="0" w:hanging="0"/>
        <w:rPr>
          <w:rFonts w:ascii="Calibri Light" w:hAnsi="Calibri Light"/>
        </w:rPr>
      </w:pPr>
      <w:r>
        <w:rPr>
          <w:rFonts w:ascii="Calibri Light" w:hAnsi="Calibri Light"/>
          <w:i w:val="false"/>
          <w:iCs w:val="false"/>
          <w:color w:val="000000"/>
          <w:sz w:val="24"/>
          <w:szCs w:val="24"/>
        </w:rPr>
        <w:t>enviar a documentação pertinente ao setor de contratos para a formalização dos procedimentos de liquidação e pagamento, no valor dimensionado pela fiscalização e gestão nos termos do contrato.</w:t>
      </w:r>
    </w:p>
    <w:p>
      <w:pPr>
        <w:pStyle w:val="Nivel01"/>
        <w:numPr>
          <w:ilvl w:val="0"/>
          <w:numId w:val="3"/>
        </w:numPr>
        <w:ind w:left="357" w:right="0" w:hanging="357"/>
        <w:rPr>
          <w:rFonts w:ascii="Calibri Light" w:hAnsi="Calibri Light"/>
        </w:rPr>
      </w:pPr>
      <w:bookmarkStart w:id="5" w:name="_Hlk114498447"/>
      <w:bookmarkStart w:id="6" w:name="_Hlk114498479"/>
      <w:bookmarkEnd w:id="5"/>
      <w:bookmarkEnd w:id="6"/>
      <w:r>
        <w:rPr>
          <w:rFonts w:ascii="Calibri Light" w:hAnsi="Calibri Light"/>
          <w:i w:val="false"/>
          <w:iCs w:val="false"/>
          <w:color w:val="000000"/>
          <w:sz w:val="24"/>
          <w:szCs w:val="24"/>
        </w:rPr>
        <w:t>INFRAÇÕES E SANÇÕES ADMINISTRATIVAS</w:t>
      </w:r>
    </w:p>
    <w:p>
      <w:pPr>
        <w:pStyle w:val="Nvel02"/>
        <w:numPr>
          <w:ilvl w:val="1"/>
          <w:numId w:val="3"/>
        </w:numPr>
        <w:ind w:left="0" w:right="0" w:hanging="0"/>
        <w:rPr/>
      </w:pPr>
      <w:r>
        <w:rPr>
          <w:rStyle w:val="Normaltextrun"/>
          <w:rFonts w:ascii="Calibri Light" w:hAnsi="Calibri Light"/>
          <w:i w:val="false"/>
          <w:iCs w:val="false"/>
          <w:color w:val="000000"/>
          <w:sz w:val="24"/>
          <w:szCs w:val="24"/>
        </w:rPr>
        <w:t xml:space="preserve">Comete </w:t>
      </w:r>
      <w:r>
        <w:rPr>
          <w:rFonts w:ascii="Calibri Light" w:hAnsi="Calibri Light"/>
          <w:i w:val="false"/>
          <w:iCs w:val="false"/>
          <w:color w:val="000000"/>
          <w:sz w:val="24"/>
          <w:szCs w:val="24"/>
        </w:rPr>
        <w:t>infração</w:t>
      </w:r>
      <w:r>
        <w:rPr>
          <w:rStyle w:val="Normaltextrun"/>
          <w:rFonts w:ascii="Calibri Light" w:hAnsi="Calibri Light"/>
          <w:i w:val="false"/>
          <w:iCs w:val="false"/>
          <w:color w:val="000000"/>
          <w:sz w:val="24"/>
          <w:szCs w:val="24"/>
        </w:rPr>
        <w:t xml:space="preserve"> administrativa, nos termos da Lei nº 14.133, de 2021, o Contratado que:</w:t>
      </w:r>
    </w:p>
    <w:p>
      <w:pPr>
        <w:pStyle w:val="Paragraph"/>
        <w:numPr>
          <w:ilvl w:val="0"/>
          <w:numId w:val="6"/>
        </w:numPr>
        <w:spacing w:lineRule="auto" w:line="276" w:before="120" w:after="0"/>
        <w:ind w:left="284" w:right="0" w:hanging="0"/>
        <w:jc w:val="both"/>
        <w:textAlignment w:val="baseline"/>
        <w:rPr/>
      </w:pPr>
      <w:r>
        <w:rPr>
          <w:rStyle w:val="Normaltextrun"/>
          <w:rFonts w:ascii="Calibri Light" w:hAnsi="Calibri Light"/>
          <w:i w:val="false"/>
          <w:iCs w:val="false"/>
          <w:color w:val="000000"/>
          <w:sz w:val="24"/>
          <w:szCs w:val="24"/>
        </w:rPr>
        <w:t>der causa à inexecução parcial do contrato;</w:t>
      </w:r>
    </w:p>
    <w:p>
      <w:pPr>
        <w:pStyle w:val="Paragraph"/>
        <w:numPr>
          <w:ilvl w:val="0"/>
          <w:numId w:val="6"/>
        </w:numPr>
        <w:spacing w:lineRule="auto" w:line="276" w:before="0" w:after="0"/>
        <w:ind w:left="284" w:right="0" w:hanging="0"/>
        <w:jc w:val="both"/>
        <w:textAlignment w:val="baseline"/>
        <w:rPr/>
      </w:pPr>
      <w:r>
        <w:rPr>
          <w:rStyle w:val="Normaltextrun"/>
          <w:rFonts w:ascii="Calibri Light" w:hAnsi="Calibri Light"/>
          <w:i w:val="false"/>
          <w:iCs w:val="false"/>
          <w:color w:val="000000"/>
          <w:sz w:val="24"/>
          <w:szCs w:val="24"/>
        </w:rPr>
        <w:t>der causa à inexecução parcial do contrato que cause grave dano à Administração ou ao funcionamento dos serviços públicos ou ao interesse coletivo;</w:t>
      </w:r>
    </w:p>
    <w:p>
      <w:pPr>
        <w:pStyle w:val="Paragraph"/>
        <w:numPr>
          <w:ilvl w:val="0"/>
          <w:numId w:val="6"/>
        </w:numPr>
        <w:spacing w:lineRule="auto" w:line="276" w:before="0" w:after="0"/>
        <w:ind w:left="284" w:right="0" w:hanging="0"/>
        <w:jc w:val="both"/>
        <w:textAlignment w:val="baseline"/>
        <w:rPr/>
      </w:pPr>
      <w:r>
        <w:rPr>
          <w:rStyle w:val="Normaltextrun"/>
          <w:rFonts w:ascii="Calibri Light" w:hAnsi="Calibri Light"/>
          <w:i w:val="false"/>
          <w:iCs w:val="false"/>
          <w:color w:val="000000"/>
          <w:sz w:val="24"/>
          <w:szCs w:val="24"/>
        </w:rPr>
        <w:t>der causa à inexecução total do contrato;</w:t>
      </w:r>
    </w:p>
    <w:p>
      <w:pPr>
        <w:pStyle w:val="Paragraph"/>
        <w:numPr>
          <w:ilvl w:val="0"/>
          <w:numId w:val="6"/>
        </w:numPr>
        <w:spacing w:lineRule="auto" w:line="276" w:before="0" w:after="0"/>
        <w:ind w:left="284" w:right="0" w:hanging="0"/>
        <w:jc w:val="both"/>
        <w:textAlignment w:val="baseline"/>
        <w:rPr/>
      </w:pPr>
      <w:r>
        <w:rPr>
          <w:rStyle w:val="Normaltextrun"/>
          <w:rFonts w:ascii="Calibri Light" w:hAnsi="Calibri Light"/>
          <w:i w:val="false"/>
          <w:iCs w:val="false"/>
          <w:color w:val="000000"/>
          <w:sz w:val="24"/>
          <w:szCs w:val="24"/>
        </w:rPr>
        <w:t>ensejar o retardamento da execução ou da entrega do objeto da contratação sem motivo justificado;</w:t>
      </w:r>
    </w:p>
    <w:p>
      <w:pPr>
        <w:pStyle w:val="Paragraph"/>
        <w:numPr>
          <w:ilvl w:val="0"/>
          <w:numId w:val="6"/>
        </w:numPr>
        <w:spacing w:lineRule="auto" w:line="276" w:before="0" w:after="0"/>
        <w:ind w:left="284" w:right="0" w:hanging="0"/>
        <w:jc w:val="both"/>
        <w:textAlignment w:val="baseline"/>
        <w:rPr/>
      </w:pPr>
      <w:r>
        <w:rPr>
          <w:rStyle w:val="Normaltextrun"/>
          <w:rFonts w:ascii="Calibri Light" w:hAnsi="Calibri Light"/>
          <w:i w:val="false"/>
          <w:iCs w:val="false"/>
          <w:color w:val="000000"/>
          <w:sz w:val="24"/>
          <w:szCs w:val="24"/>
        </w:rPr>
        <w:t>apresentar documentação falsa ou prestar declaração falsa durante a execução do contrato;</w:t>
      </w:r>
    </w:p>
    <w:p>
      <w:pPr>
        <w:pStyle w:val="Paragraph"/>
        <w:numPr>
          <w:ilvl w:val="0"/>
          <w:numId w:val="6"/>
        </w:numPr>
        <w:spacing w:lineRule="auto" w:line="276" w:before="0" w:after="0"/>
        <w:ind w:left="284" w:right="0" w:hanging="0"/>
        <w:jc w:val="both"/>
        <w:textAlignment w:val="baseline"/>
        <w:rPr/>
      </w:pPr>
      <w:r>
        <w:rPr>
          <w:rStyle w:val="Normaltextrun"/>
          <w:rFonts w:ascii="Calibri Light" w:hAnsi="Calibri Light"/>
          <w:i w:val="false"/>
          <w:iCs w:val="false"/>
          <w:color w:val="000000"/>
          <w:sz w:val="24"/>
          <w:szCs w:val="24"/>
        </w:rPr>
        <w:t>praticar ato fraudulento na execução do contrato;</w:t>
      </w:r>
    </w:p>
    <w:p>
      <w:pPr>
        <w:pStyle w:val="Paragraph"/>
        <w:numPr>
          <w:ilvl w:val="0"/>
          <w:numId w:val="6"/>
        </w:numPr>
        <w:spacing w:lineRule="auto" w:line="276" w:before="0" w:after="0"/>
        <w:ind w:left="284" w:right="0" w:hanging="0"/>
        <w:jc w:val="both"/>
        <w:textAlignment w:val="baseline"/>
        <w:rPr/>
      </w:pPr>
      <w:r>
        <w:rPr>
          <w:rStyle w:val="Normaltextrun"/>
          <w:rFonts w:ascii="Calibri Light" w:hAnsi="Calibri Light"/>
          <w:i w:val="false"/>
          <w:iCs w:val="false"/>
          <w:color w:val="000000"/>
          <w:sz w:val="24"/>
          <w:szCs w:val="24"/>
        </w:rPr>
        <w:t>comportar-se de modo inidôneo ou cometer fraude de qualquer natureza;</w:t>
      </w:r>
    </w:p>
    <w:p>
      <w:pPr>
        <w:pStyle w:val="Paragraph"/>
        <w:numPr>
          <w:ilvl w:val="0"/>
          <w:numId w:val="6"/>
        </w:numPr>
        <w:spacing w:lineRule="auto" w:line="276" w:before="0" w:after="120"/>
        <w:ind w:left="284" w:right="0" w:hanging="0"/>
        <w:jc w:val="both"/>
        <w:textAlignment w:val="baseline"/>
        <w:rPr/>
      </w:pPr>
      <w:r>
        <w:rPr>
          <w:rStyle w:val="Normaltextrun"/>
          <w:rFonts w:ascii="Calibri Light" w:hAnsi="Calibri Light"/>
          <w:i w:val="false"/>
          <w:iCs w:val="false"/>
          <w:color w:val="000000"/>
          <w:sz w:val="24"/>
          <w:szCs w:val="24"/>
        </w:rPr>
        <w:t>praticar ato lesivo previsto no art. 5º da Lei nº 12.846, de 1º de agosto de 2013.</w:t>
      </w:r>
    </w:p>
    <w:p>
      <w:pPr>
        <w:pStyle w:val="Nvel02"/>
        <w:numPr>
          <w:ilvl w:val="1"/>
          <w:numId w:val="3"/>
        </w:numPr>
        <w:ind w:left="0" w:right="0" w:hanging="0"/>
        <w:rPr/>
      </w:pPr>
      <w:r>
        <w:rPr>
          <w:rStyle w:val="Normaltextrun"/>
          <w:rFonts w:ascii="Calibri Light" w:hAnsi="Calibri Light"/>
          <w:i w:val="false"/>
          <w:iCs w:val="false"/>
          <w:color w:val="000000"/>
          <w:sz w:val="24"/>
          <w:szCs w:val="24"/>
        </w:rPr>
        <w:t xml:space="preserve">Serão </w:t>
      </w:r>
      <w:r>
        <w:rPr>
          <w:rFonts w:ascii="Calibri Light" w:hAnsi="Calibri Light"/>
          <w:i w:val="false"/>
          <w:iCs w:val="false"/>
          <w:color w:val="000000"/>
          <w:sz w:val="24"/>
          <w:szCs w:val="24"/>
        </w:rPr>
        <w:t>aplicadas</w:t>
      </w:r>
      <w:r>
        <w:rPr>
          <w:rStyle w:val="Normaltextrun"/>
          <w:rFonts w:ascii="Calibri Light" w:hAnsi="Calibri Light"/>
          <w:i w:val="false"/>
          <w:iCs w:val="false"/>
          <w:color w:val="000000"/>
          <w:sz w:val="24"/>
          <w:szCs w:val="24"/>
        </w:rPr>
        <w:t xml:space="preserve"> ao Contratado que incorrer nas infrações acima descritas as seguintes sanções:</w:t>
      </w:r>
    </w:p>
    <w:p>
      <w:pPr>
        <w:pStyle w:val="Nivel3"/>
        <w:numPr>
          <w:ilvl w:val="2"/>
          <w:numId w:val="116"/>
        </w:numPr>
        <w:ind w:left="284" w:right="0" w:hanging="0"/>
        <w:rPr/>
      </w:pPr>
      <w:r>
        <w:rPr>
          <w:rStyle w:val="Normaltextrun"/>
          <w:rFonts w:ascii="Calibri Light" w:hAnsi="Calibri Light"/>
          <w:i w:val="false"/>
          <w:iCs w:val="false"/>
          <w:color w:val="000000"/>
          <w:sz w:val="24"/>
          <w:szCs w:val="24"/>
        </w:rPr>
        <w:t>Advertência, quando o Contratado der causa à inexecução parcial do contrato, sempre que não se justificar a imposição de penalidade mais grave;</w:t>
      </w:r>
    </w:p>
    <w:p>
      <w:pPr>
        <w:pStyle w:val="Nivel3"/>
        <w:numPr>
          <w:ilvl w:val="2"/>
          <w:numId w:val="117"/>
        </w:numPr>
        <w:ind w:left="284" w:right="0" w:hanging="0"/>
        <w:rPr/>
      </w:pPr>
      <w:r>
        <w:rPr>
          <w:rStyle w:val="Normaltextrun"/>
          <w:rFonts w:ascii="Calibri Light" w:hAnsi="Calibri Light"/>
          <w:i w:val="false"/>
          <w:iCs w:val="false"/>
          <w:color w:val="000000"/>
          <w:sz w:val="24"/>
          <w:szCs w:val="24"/>
        </w:rPr>
        <w:t>Impedimento de licitar e contratar, quando praticadas as condutas descritas nas alíneas “b”, “c” e “d” do subitem acima, sempre que não se justificar a imposição de penalidade mais grave;</w:t>
      </w:r>
    </w:p>
    <w:p>
      <w:pPr>
        <w:pStyle w:val="Nivel3"/>
        <w:numPr>
          <w:ilvl w:val="2"/>
          <w:numId w:val="118"/>
        </w:numPr>
        <w:ind w:left="284" w:right="0" w:hanging="0"/>
        <w:rPr/>
      </w:pPr>
      <w:r>
        <w:rPr>
          <w:rStyle w:val="Normaltextrun"/>
          <w:rFonts w:ascii="Calibri Light" w:hAnsi="Calibri Light"/>
          <w:i w:val="false"/>
          <w:iCs w:val="false"/>
          <w:color w:val="000000"/>
          <w:sz w:val="24"/>
          <w:szCs w:val="24"/>
        </w:rPr>
        <w:t>Declaração de inidoneidade para licitar e contratar, quando praticadas as condutas descritas nas alíneas “e”, “f”, “g” e “h” do subitem acima, bem como nas alíneas “b”, “c” e “d”, que justifiquem a imposição de penalidade mais grave.</w:t>
      </w:r>
    </w:p>
    <w:p>
      <w:pPr>
        <w:pStyle w:val="Nivel3"/>
        <w:numPr>
          <w:ilvl w:val="2"/>
          <w:numId w:val="119"/>
        </w:numPr>
        <w:ind w:left="284" w:right="0" w:hanging="0"/>
        <w:rPr/>
      </w:pPr>
      <w:r>
        <w:rPr>
          <w:rStyle w:val="Normaltextrun"/>
          <w:rFonts w:ascii="Calibri Light" w:hAnsi="Calibri Light"/>
          <w:i w:val="false"/>
          <w:iCs w:val="false"/>
          <w:color w:val="000000"/>
          <w:sz w:val="24"/>
          <w:szCs w:val="24"/>
        </w:rPr>
        <w:t>Multa</w:t>
      </w:r>
      <w:r>
        <w:rPr>
          <w:rStyle w:val="Normaltextrun"/>
          <w:rFonts w:cs="Arial" w:ascii="Calibri Light" w:hAnsi="Calibri Light"/>
          <w:i w:val="false"/>
          <w:iCs w:val="false"/>
          <w:color w:val="000000"/>
          <w:sz w:val="24"/>
          <w:szCs w:val="24"/>
        </w:rPr>
        <w:t>:</w:t>
      </w:r>
    </w:p>
    <w:p>
      <w:pPr>
        <w:pStyle w:val="Nvel4-R"/>
        <w:numPr>
          <w:ilvl w:val="3"/>
          <w:numId w:val="120"/>
        </w:numPr>
        <w:ind w:left="567" w:right="0" w:hanging="0"/>
        <w:rPr/>
      </w:pPr>
      <w:r>
        <w:rPr>
          <w:rStyle w:val="Normaltextrun"/>
          <w:rFonts w:ascii="Calibri Light" w:hAnsi="Calibri Light"/>
          <w:i w:val="false"/>
          <w:iCs w:val="false"/>
          <w:color w:val="000000"/>
          <w:sz w:val="24"/>
          <w:szCs w:val="24"/>
        </w:rPr>
        <w:t>Moratória, para as infrações descritas no item “d”, de 0,07% (sete centésimos por cento) por dia de atraso injustificado sobre o valor da parcela inadimplida, até o limite de 3</w:t>
      </w:r>
      <w:r>
        <w:rPr>
          <w:rStyle w:val="Normaltextrun"/>
          <w:rFonts w:ascii="Calibri Light" w:hAnsi="Calibri Light"/>
          <w:b/>
          <w:bCs w:val="false"/>
          <w:i w:val="false"/>
          <w:iCs w:val="false"/>
          <w:color w:val="000000"/>
          <w:sz w:val="24"/>
          <w:szCs w:val="24"/>
        </w:rPr>
        <w:t>0</w:t>
      </w:r>
      <w:r>
        <w:rPr>
          <w:rStyle w:val="Normaltextrun"/>
          <w:rFonts w:ascii="Calibri Light" w:hAnsi="Calibri Light"/>
          <w:i w:val="false"/>
          <w:iCs w:val="false"/>
          <w:color w:val="000000"/>
          <w:sz w:val="24"/>
          <w:szCs w:val="24"/>
        </w:rPr>
        <w:t xml:space="preserve"> (trinta) dias</w:t>
      </w:r>
    </w:p>
    <w:p>
      <w:pPr>
        <w:pStyle w:val="Nvel4-R"/>
        <w:numPr>
          <w:ilvl w:val="3"/>
          <w:numId w:val="3"/>
        </w:numPr>
        <w:ind w:left="567" w:right="0" w:hanging="0"/>
        <w:rPr/>
      </w:pPr>
      <w:r>
        <w:rPr>
          <w:rStyle w:val="Normaltextrun"/>
          <w:rFonts w:ascii="Calibri Light" w:hAnsi="Calibri Light"/>
          <w:i w:val="false"/>
          <w:iCs w:val="false"/>
          <w:color w:val="000000"/>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pPr>
        <w:pStyle w:val="Nvel4-R"/>
        <w:numPr>
          <w:ilvl w:val="4"/>
          <w:numId w:val="10"/>
        </w:numPr>
        <w:ind w:left="1418" w:right="0" w:hanging="0"/>
        <w:rPr>
          <w:rFonts w:ascii="Calibri Light" w:hAnsi="Calibri Light"/>
        </w:rPr>
      </w:pPr>
      <w:r>
        <w:rPr>
          <w:rFonts w:ascii="Calibri Light" w:hAnsi="Calibri Light"/>
          <w:i w:val="false"/>
          <w:iCs w:val="false"/>
          <w:color w:val="000000"/>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pPr>
        <w:pStyle w:val="Nvel4-R"/>
        <w:numPr>
          <w:ilvl w:val="3"/>
          <w:numId w:val="121"/>
        </w:numPr>
        <w:ind w:left="567" w:right="0" w:hanging="0"/>
        <w:rPr/>
      </w:pPr>
      <w:r>
        <w:rPr>
          <w:rStyle w:val="Normaltextrun"/>
          <w:rFonts w:ascii="Calibri Light" w:hAnsi="Calibri Light"/>
          <w:bCs w:val="false"/>
          <w:i w:val="false"/>
          <w:iCs w:val="false"/>
          <w:color w:val="000000"/>
          <w:sz w:val="24"/>
          <w:szCs w:val="24"/>
        </w:rPr>
        <w:t>Compensatória</w:t>
      </w:r>
      <w:r>
        <w:rPr>
          <w:rStyle w:val="Normaltextrun"/>
          <w:rFonts w:ascii="Calibri Light" w:hAnsi="Calibri Light"/>
          <w:i w:val="false"/>
          <w:iCs w:val="false"/>
          <w:color w:val="000000"/>
          <w:sz w:val="24"/>
          <w:szCs w:val="24"/>
        </w:rPr>
        <w:t>, para as infrações descritas acima alíneas “</w:t>
      </w:r>
      <w:r>
        <w:rPr>
          <w:rStyle w:val="Normaltextrun"/>
          <w:rFonts w:ascii="Calibri Light" w:hAnsi="Calibri Light"/>
          <w:b/>
          <w:i w:val="false"/>
          <w:iCs w:val="false"/>
          <w:color w:val="000000"/>
          <w:sz w:val="24"/>
          <w:szCs w:val="24"/>
        </w:rPr>
        <w:t>e</w:t>
      </w:r>
      <w:r>
        <w:rPr>
          <w:rStyle w:val="Normaltextrun"/>
          <w:rFonts w:ascii="Calibri Light" w:hAnsi="Calibri Light"/>
          <w:i w:val="false"/>
          <w:iCs w:val="false"/>
          <w:color w:val="000000"/>
          <w:sz w:val="24"/>
          <w:szCs w:val="24"/>
        </w:rPr>
        <w:t>” a “</w:t>
      </w:r>
      <w:r>
        <w:rPr>
          <w:rStyle w:val="Normaltextrun"/>
          <w:rFonts w:ascii="Calibri Light" w:hAnsi="Calibri Light"/>
          <w:b/>
          <w:i w:val="false"/>
          <w:iCs w:val="false"/>
          <w:color w:val="000000"/>
          <w:sz w:val="24"/>
          <w:szCs w:val="24"/>
        </w:rPr>
        <w:t>h</w:t>
      </w:r>
      <w:r>
        <w:rPr>
          <w:rStyle w:val="Normaltextrun"/>
          <w:rFonts w:ascii="Calibri Light" w:hAnsi="Calibri Light"/>
          <w:i w:val="false"/>
          <w:iCs w:val="false"/>
          <w:color w:val="000000"/>
          <w:sz w:val="24"/>
          <w:szCs w:val="24"/>
        </w:rPr>
        <w:t>” de 0</w:t>
      </w:r>
      <w:r>
        <w:rPr>
          <w:rStyle w:val="Normaltextrun"/>
          <w:rFonts w:ascii="Calibri Light" w:hAnsi="Calibri Light"/>
          <w:b/>
          <w:bCs w:val="false"/>
          <w:i w:val="false"/>
          <w:iCs w:val="false"/>
          <w:color w:val="000000"/>
          <w:sz w:val="24"/>
          <w:szCs w:val="24"/>
        </w:rPr>
        <w:t>,07</w:t>
      </w:r>
      <w:r>
        <w:rPr>
          <w:rStyle w:val="Normaltextrun"/>
          <w:rFonts w:ascii="Calibri Light" w:hAnsi="Calibri Light"/>
          <w:i w:val="false"/>
          <w:iCs w:val="false"/>
          <w:color w:val="000000"/>
          <w:sz w:val="24"/>
          <w:szCs w:val="24"/>
        </w:rPr>
        <w:t>% (sete centésimos por cento ) a 2 %(dois por cento) do valor da contratação.</w:t>
      </w:r>
    </w:p>
    <w:p>
      <w:pPr>
        <w:pStyle w:val="Nvel4-R"/>
        <w:numPr>
          <w:ilvl w:val="3"/>
          <w:numId w:val="122"/>
        </w:numPr>
        <w:ind w:left="567" w:right="0" w:hanging="0"/>
        <w:rPr/>
      </w:pPr>
      <w:r>
        <w:rPr>
          <w:rStyle w:val="Normaltextrun"/>
          <w:rFonts w:ascii="Calibri Light" w:hAnsi="Calibri Light"/>
          <w:bCs w:val="false"/>
          <w:i w:val="false"/>
          <w:iCs w:val="false"/>
          <w:color w:val="000000"/>
          <w:sz w:val="24"/>
          <w:szCs w:val="24"/>
        </w:rPr>
        <w:t>Compensatória</w:t>
      </w:r>
      <w:r>
        <w:rPr>
          <w:rStyle w:val="Normaltextrun"/>
          <w:rFonts w:ascii="Calibri Light" w:hAnsi="Calibri Light"/>
          <w:i w:val="false"/>
          <w:iCs w:val="false"/>
          <w:color w:val="000000"/>
          <w:sz w:val="24"/>
          <w:szCs w:val="24"/>
        </w:rPr>
        <w:t>, para a inexecução total do contrato prevista acima na alínea “</w:t>
      </w:r>
      <w:r>
        <w:rPr>
          <w:rStyle w:val="Normaltextrun"/>
          <w:rFonts w:ascii="Calibri Light" w:hAnsi="Calibri Light"/>
          <w:b/>
          <w:i w:val="false"/>
          <w:iCs w:val="false"/>
          <w:color w:val="000000"/>
          <w:sz w:val="24"/>
          <w:szCs w:val="24"/>
        </w:rPr>
        <w:t>c</w:t>
      </w:r>
      <w:r>
        <w:rPr>
          <w:rStyle w:val="Normaltextrun"/>
          <w:rFonts w:ascii="Calibri Light" w:hAnsi="Calibri Light"/>
          <w:i w:val="false"/>
          <w:iCs w:val="false"/>
          <w:color w:val="000000"/>
          <w:sz w:val="24"/>
          <w:szCs w:val="24"/>
        </w:rPr>
        <w:t>”, de 0</w:t>
      </w:r>
      <w:r>
        <w:rPr>
          <w:rStyle w:val="Normaltextrun"/>
          <w:rFonts w:ascii="Calibri Light" w:hAnsi="Calibri Light"/>
          <w:b/>
          <w:bCs w:val="false"/>
          <w:i w:val="false"/>
          <w:iCs w:val="false"/>
          <w:color w:val="000000"/>
          <w:sz w:val="24"/>
          <w:szCs w:val="24"/>
        </w:rPr>
        <w:t>,07</w:t>
      </w:r>
      <w:r>
        <w:rPr>
          <w:rStyle w:val="Normaltextrun"/>
          <w:rFonts w:ascii="Calibri Light" w:hAnsi="Calibri Light"/>
          <w:i w:val="false"/>
          <w:iCs w:val="false"/>
          <w:color w:val="000000"/>
          <w:sz w:val="24"/>
          <w:szCs w:val="24"/>
        </w:rPr>
        <w:t>% (sete centésimos</w:t>
      </w:r>
      <w:r>
        <w:rPr>
          <w:rStyle w:val="Normaltextrun"/>
          <w:rFonts w:ascii="Calibri Light" w:hAnsi="Calibri Light"/>
          <w:b/>
          <w:bCs w:val="false"/>
          <w:i w:val="false"/>
          <w:iCs w:val="false"/>
          <w:color w:val="000000"/>
          <w:sz w:val="24"/>
          <w:szCs w:val="24"/>
        </w:rPr>
        <w:t xml:space="preserve"> </w:t>
      </w:r>
      <w:r>
        <w:rPr>
          <w:rStyle w:val="Normaltextrun"/>
          <w:rFonts w:ascii="Calibri Light" w:hAnsi="Calibri Light"/>
          <w:i w:val="false"/>
          <w:iCs w:val="false"/>
          <w:color w:val="000000"/>
          <w:sz w:val="24"/>
          <w:szCs w:val="24"/>
        </w:rPr>
        <w:t>por cento) a 2% (dois por cento) do valor da contratação.</w:t>
      </w:r>
    </w:p>
    <w:p>
      <w:pPr>
        <w:pStyle w:val="Nvel4-R"/>
        <w:numPr>
          <w:ilvl w:val="3"/>
          <w:numId w:val="123"/>
        </w:numPr>
        <w:ind w:left="567" w:right="0" w:hanging="0"/>
        <w:rPr/>
      </w:pPr>
      <w:r>
        <w:rPr>
          <w:rStyle w:val="Normaltextrun"/>
          <w:rFonts w:ascii="Calibri Light" w:hAnsi="Calibri Light"/>
          <w:bCs w:val="false"/>
          <w:i w:val="false"/>
          <w:iCs w:val="false"/>
          <w:color w:val="000000"/>
          <w:sz w:val="24"/>
          <w:szCs w:val="24"/>
        </w:rPr>
        <w:t>Compensatória</w:t>
      </w:r>
      <w:r>
        <w:rPr>
          <w:rStyle w:val="Normaltextrun"/>
          <w:rFonts w:ascii="Calibri Light" w:hAnsi="Calibri Light"/>
          <w:i w:val="false"/>
          <w:iCs w:val="false"/>
          <w:color w:val="000000"/>
          <w:sz w:val="24"/>
          <w:szCs w:val="24"/>
        </w:rPr>
        <w:t>, para a infração descrita acima na alínea “</w:t>
      </w:r>
      <w:r>
        <w:rPr>
          <w:rStyle w:val="Normaltextrun"/>
          <w:rFonts w:ascii="Calibri Light" w:hAnsi="Calibri Light"/>
          <w:b/>
          <w:i w:val="false"/>
          <w:iCs w:val="false"/>
          <w:color w:val="000000"/>
          <w:sz w:val="24"/>
          <w:szCs w:val="24"/>
        </w:rPr>
        <w:t>b</w:t>
      </w:r>
      <w:r>
        <w:rPr>
          <w:rStyle w:val="Normaltextrun"/>
          <w:rFonts w:ascii="Calibri Light" w:hAnsi="Calibri Light"/>
          <w:i w:val="false"/>
          <w:iCs w:val="false"/>
          <w:color w:val="000000"/>
          <w:sz w:val="24"/>
          <w:szCs w:val="24"/>
        </w:rPr>
        <w:t>”, de 0</w:t>
      </w:r>
      <w:r>
        <w:rPr>
          <w:rStyle w:val="Normaltextrun"/>
          <w:rFonts w:ascii="Calibri Light" w:hAnsi="Calibri Light"/>
          <w:b/>
          <w:bCs w:val="false"/>
          <w:i w:val="false"/>
          <w:iCs w:val="false"/>
          <w:color w:val="000000"/>
          <w:sz w:val="24"/>
          <w:szCs w:val="24"/>
        </w:rPr>
        <w:t>,07</w:t>
      </w:r>
      <w:r>
        <w:rPr>
          <w:rStyle w:val="Normaltextrun"/>
          <w:rFonts w:ascii="Calibri Light" w:hAnsi="Calibri Light"/>
          <w:i w:val="false"/>
          <w:iCs w:val="false"/>
          <w:color w:val="000000"/>
          <w:sz w:val="24"/>
          <w:szCs w:val="24"/>
        </w:rPr>
        <w:t>% (sete centésimos por cento) a 2% (dois por cento) do valor da contratação.</w:t>
      </w:r>
    </w:p>
    <w:p>
      <w:pPr>
        <w:pStyle w:val="Nvel4-R"/>
        <w:numPr>
          <w:ilvl w:val="3"/>
          <w:numId w:val="124"/>
        </w:numPr>
        <w:ind w:left="567" w:right="0" w:hanging="0"/>
        <w:rPr/>
      </w:pPr>
      <w:bookmarkStart w:id="7" w:name="_Hlk175669195"/>
      <w:r>
        <w:rPr>
          <w:rStyle w:val="Normaltextrun"/>
          <w:rFonts w:ascii="Calibri Light" w:hAnsi="Calibri Light"/>
          <w:i w:val="false"/>
          <w:iCs w:val="false"/>
          <w:color w:val="000000"/>
          <w:sz w:val="24"/>
          <w:szCs w:val="24"/>
        </w:rPr>
        <w:t>Compensatória, em substituição à multa moratória para a infração descrita acima na alínea “d”, de 0</w:t>
      </w:r>
      <w:r>
        <w:rPr>
          <w:rStyle w:val="Normaltextrun"/>
          <w:rFonts w:ascii="Calibri Light" w:hAnsi="Calibri Light"/>
          <w:b/>
          <w:i w:val="false"/>
          <w:iCs w:val="false"/>
          <w:color w:val="000000"/>
          <w:sz w:val="24"/>
          <w:szCs w:val="24"/>
        </w:rPr>
        <w:t>,07</w:t>
      </w:r>
      <w:r>
        <w:rPr>
          <w:rStyle w:val="Normaltextrun"/>
          <w:rFonts w:ascii="Calibri Light" w:hAnsi="Calibri Light"/>
          <w:i w:val="false"/>
          <w:iCs w:val="false"/>
          <w:color w:val="000000"/>
          <w:sz w:val="24"/>
          <w:szCs w:val="24"/>
        </w:rPr>
        <w:t>% (sete centésimos  por cento) a 2% (dois por cento) do valor da contratação.</w:t>
      </w:r>
      <w:bookmarkEnd w:id="7"/>
    </w:p>
    <w:p>
      <w:pPr>
        <w:pStyle w:val="Nvel4-R"/>
        <w:numPr>
          <w:ilvl w:val="3"/>
          <w:numId w:val="125"/>
        </w:numPr>
        <w:ind w:left="567" w:right="0" w:hanging="0"/>
        <w:rPr/>
      </w:pPr>
      <w:r>
        <w:rPr>
          <w:rStyle w:val="Normaltextrun"/>
          <w:rFonts w:ascii="Calibri Light" w:hAnsi="Calibri Light"/>
          <w:bCs w:val="false"/>
          <w:i w:val="false"/>
          <w:iCs w:val="false"/>
          <w:color w:val="000000"/>
          <w:sz w:val="24"/>
          <w:szCs w:val="24"/>
        </w:rPr>
        <w:t>Compensatória</w:t>
      </w:r>
      <w:r>
        <w:rPr>
          <w:rStyle w:val="Normaltextrun"/>
          <w:rFonts w:ascii="Calibri Light" w:hAnsi="Calibri Light"/>
          <w:i w:val="false"/>
          <w:iCs w:val="false"/>
          <w:color w:val="000000"/>
          <w:sz w:val="24"/>
          <w:szCs w:val="24"/>
        </w:rPr>
        <w:t>, para a infração descrita acima na alínea “</w:t>
      </w:r>
      <w:r>
        <w:rPr>
          <w:rStyle w:val="Normaltextrun"/>
          <w:rFonts w:ascii="Calibri Light" w:hAnsi="Calibri Light"/>
          <w:b/>
          <w:i w:val="false"/>
          <w:iCs w:val="false"/>
          <w:color w:val="000000"/>
          <w:sz w:val="24"/>
          <w:szCs w:val="24"/>
        </w:rPr>
        <w:t>a</w:t>
      </w:r>
      <w:r>
        <w:rPr>
          <w:rStyle w:val="Normaltextrun"/>
          <w:rFonts w:ascii="Calibri Light" w:hAnsi="Calibri Light"/>
          <w:i w:val="false"/>
          <w:iCs w:val="false"/>
          <w:color w:val="000000"/>
          <w:sz w:val="24"/>
          <w:szCs w:val="24"/>
        </w:rPr>
        <w:t>”, de 0</w:t>
      </w:r>
      <w:r>
        <w:rPr>
          <w:rStyle w:val="Normaltextrun"/>
          <w:rFonts w:ascii="Calibri Light" w:hAnsi="Calibri Light"/>
          <w:b/>
          <w:bCs w:val="false"/>
          <w:i w:val="false"/>
          <w:iCs w:val="false"/>
          <w:color w:val="000000"/>
          <w:sz w:val="24"/>
          <w:szCs w:val="24"/>
        </w:rPr>
        <w:t>,07</w:t>
      </w:r>
      <w:r>
        <w:rPr>
          <w:rStyle w:val="Normaltextrun"/>
          <w:rFonts w:ascii="Calibri Light" w:hAnsi="Calibri Light"/>
          <w:i w:val="false"/>
          <w:iCs w:val="false"/>
          <w:color w:val="000000"/>
          <w:sz w:val="24"/>
          <w:szCs w:val="24"/>
        </w:rPr>
        <w:t>% ( sete centésimos por cento) a 2% (d</w:t>
      </w:r>
      <w:r>
        <w:rPr>
          <w:rStyle w:val="Normaltextrun"/>
          <w:rFonts w:ascii="Calibri Light" w:hAnsi="Calibri Light"/>
          <w:b/>
          <w:bCs w:val="false"/>
          <w:i w:val="false"/>
          <w:iCs w:val="false"/>
          <w:color w:val="000000"/>
          <w:sz w:val="24"/>
          <w:szCs w:val="24"/>
        </w:rPr>
        <w:t>ois</w:t>
      </w:r>
      <w:r>
        <w:rPr>
          <w:rStyle w:val="Normaltextrun"/>
          <w:rFonts w:ascii="Calibri Light" w:hAnsi="Calibri Light"/>
          <w:i w:val="false"/>
          <w:iCs w:val="false"/>
          <w:color w:val="000000"/>
          <w:sz w:val="24"/>
          <w:szCs w:val="24"/>
        </w:rPr>
        <w:t xml:space="preserve"> por cento) do valor da contratação [, ressalvadas as seguintes infrações também enquadráveis nessa alínea:]</w:t>
      </w:r>
    </w:p>
    <w:p>
      <w:pPr>
        <w:pStyle w:val="Nivel5"/>
        <w:numPr>
          <w:ilvl w:val="4"/>
          <w:numId w:val="126"/>
        </w:numPr>
        <w:ind w:left="851" w:right="0" w:hanging="0"/>
        <w:rPr/>
      </w:pPr>
      <w:r>
        <w:rPr>
          <w:rStyle w:val="Normaltextrun"/>
          <w:rFonts w:ascii="Calibri Light" w:hAnsi="Calibri Light"/>
          <w:i w:val="false"/>
          <w:iCs w:val="false"/>
          <w:color w:val="000000"/>
          <w:sz w:val="24"/>
          <w:szCs w:val="24"/>
        </w:rPr>
        <w:t>[INDICAR ITENS ESPECÍFICOS DE INEXECUÇÃO PARCIAL QUE JUSTIFIQUEM PENALIDADE DIVERSA];</w:t>
      </w:r>
    </w:p>
    <w:p>
      <w:pPr>
        <w:pStyle w:val="Nvel02"/>
        <w:numPr>
          <w:ilvl w:val="1"/>
          <w:numId w:val="3"/>
        </w:numPr>
        <w:ind w:left="0" w:right="0" w:hanging="0"/>
        <w:rPr/>
      </w:pPr>
      <w:r>
        <w:rPr>
          <w:rStyle w:val="Normaltextrun"/>
          <w:rFonts w:ascii="Calibri Light" w:hAnsi="Calibri Light"/>
          <w:i w:val="false"/>
          <w:iCs w:val="false"/>
          <w:color w:val="000000"/>
          <w:sz w:val="24"/>
          <w:szCs w:val="24"/>
        </w:rPr>
        <w:t xml:space="preserve">A aplicação das sanções previstas </w:t>
      </w:r>
      <w:bookmarkStart w:id="8" w:name="_Hlk170830409"/>
      <w:r>
        <w:rPr>
          <w:rStyle w:val="Normaltextrun"/>
          <w:rFonts w:ascii="Calibri Light" w:hAnsi="Calibri Light"/>
          <w:i w:val="false"/>
          <w:iCs w:val="false"/>
          <w:color w:val="000000"/>
          <w:sz w:val="24"/>
          <w:szCs w:val="24"/>
        </w:rPr>
        <w:t xml:space="preserve">neste </w:t>
      </w:r>
      <w:r>
        <w:rPr>
          <w:rFonts w:ascii="Calibri Light" w:hAnsi="Calibri Light"/>
          <w:i w:val="false"/>
          <w:iCs w:val="false"/>
          <w:color w:val="000000"/>
          <w:sz w:val="24"/>
          <w:szCs w:val="24"/>
        </w:rPr>
        <w:t xml:space="preserve">Termo de Referência </w:t>
      </w:r>
      <w:bookmarkEnd w:id="8"/>
      <w:r>
        <w:rPr>
          <w:rStyle w:val="Normaltextrun"/>
          <w:rFonts w:ascii="Calibri Light" w:hAnsi="Calibri Light"/>
          <w:i w:val="false"/>
          <w:iCs w:val="false"/>
          <w:color w:val="000000"/>
          <w:sz w:val="24"/>
          <w:szCs w:val="24"/>
        </w:rPr>
        <w:t>não exclui, em hipótese alguma, a obrigação de reparação integral do dano causado ao Contratante.</w:t>
      </w:r>
    </w:p>
    <w:p>
      <w:pPr>
        <w:pStyle w:val="Nvel02"/>
        <w:numPr>
          <w:ilvl w:val="1"/>
          <w:numId w:val="3"/>
        </w:numPr>
        <w:ind w:left="0" w:right="0" w:hanging="0"/>
        <w:rPr/>
      </w:pPr>
      <w:r>
        <w:rPr>
          <w:rStyle w:val="Normaltextrun"/>
          <w:rFonts w:ascii="Calibri Light" w:hAnsi="Calibri Light"/>
          <w:i w:val="false"/>
          <w:iCs w:val="false"/>
          <w:color w:val="000000"/>
          <w:sz w:val="24"/>
          <w:szCs w:val="24"/>
        </w:rPr>
        <w:t xml:space="preserve">Todas as sanções previstas neste </w:t>
      </w:r>
      <w:r>
        <w:rPr>
          <w:rFonts w:ascii="Calibri Light" w:hAnsi="Calibri Light"/>
          <w:i w:val="false"/>
          <w:iCs w:val="false"/>
          <w:color w:val="000000"/>
          <w:sz w:val="24"/>
          <w:szCs w:val="24"/>
        </w:rPr>
        <w:t>Termo de Referência</w:t>
      </w:r>
      <w:r>
        <w:rPr>
          <w:rStyle w:val="Normaltextrun"/>
          <w:rFonts w:ascii="Calibri Light" w:hAnsi="Calibri Light"/>
          <w:i w:val="false"/>
          <w:iCs w:val="false"/>
          <w:color w:val="000000"/>
          <w:sz w:val="24"/>
          <w:szCs w:val="24"/>
        </w:rPr>
        <w:t xml:space="preserve"> poderão ser aplicadas cumulativamente com a multa.</w:t>
      </w:r>
    </w:p>
    <w:p>
      <w:pPr>
        <w:pStyle w:val="Nvel02"/>
        <w:numPr>
          <w:ilvl w:val="1"/>
          <w:numId w:val="3"/>
        </w:numPr>
        <w:ind w:left="0" w:right="0" w:hanging="0"/>
        <w:rPr/>
      </w:pPr>
      <w:r>
        <w:rPr>
          <w:rFonts w:ascii="Calibri Light" w:hAnsi="Calibri Light"/>
          <w:i w:val="false"/>
          <w:iCs w:val="false"/>
          <w:color w:val="000000"/>
          <w:sz w:val="24"/>
          <w:szCs w:val="24"/>
        </w:rPr>
        <w:t xml:space="preserve">Antes da aplicação da </w:t>
      </w:r>
      <w:r>
        <w:rPr>
          <w:rStyle w:val="Normaltextrun"/>
          <w:rFonts w:ascii="Calibri Light" w:hAnsi="Calibri Light"/>
          <w:i w:val="false"/>
          <w:iCs w:val="false"/>
          <w:color w:val="000000"/>
          <w:sz w:val="24"/>
          <w:szCs w:val="24"/>
        </w:rPr>
        <w:t>multa</w:t>
      </w:r>
      <w:r>
        <w:rPr>
          <w:rFonts w:ascii="Calibri Light" w:hAnsi="Calibri Light"/>
          <w:i w:val="false"/>
          <w:iCs w:val="false"/>
          <w:color w:val="000000"/>
          <w:sz w:val="24"/>
          <w:szCs w:val="24"/>
        </w:rPr>
        <w:t xml:space="preserve"> será facultada a defesa do interessado no prazo de 15 (quinze) dias úteis, contado da data de sua intimação</w:t>
      </w:r>
      <w:r>
        <w:rPr>
          <w:rStyle w:val="Normaltextrun"/>
          <w:rFonts w:ascii="Calibri Light" w:hAnsi="Calibri Light"/>
          <w:i w:val="false"/>
          <w:iCs w:val="false"/>
          <w:color w:val="000000"/>
          <w:sz w:val="24"/>
          <w:szCs w:val="24"/>
        </w:rPr>
        <w:t>.</w:t>
      </w:r>
    </w:p>
    <w:p>
      <w:pPr>
        <w:pStyle w:val="Nvel02"/>
        <w:numPr>
          <w:ilvl w:val="1"/>
          <w:numId w:val="3"/>
        </w:numPr>
        <w:ind w:left="0" w:right="0" w:hanging="0"/>
        <w:rPr/>
      </w:pPr>
      <w:r>
        <w:rPr>
          <w:rStyle w:val="Normaltextrun"/>
          <w:rFonts w:ascii="Calibri Light" w:hAnsi="Calibri Light"/>
          <w:i w:val="false"/>
          <w:iCs w:val="false"/>
          <w:color w:val="000000"/>
          <w:sz w:val="24"/>
          <w:szCs w:val="24"/>
        </w:rPr>
        <w:t xml:space="preserve">Se a multa aplicada e as indenizações cabíveis forem superiores ao valor do pagamento </w:t>
      </w:r>
      <w:r>
        <w:rPr>
          <w:rFonts w:ascii="Calibri Light" w:hAnsi="Calibri Light"/>
          <w:i w:val="false"/>
          <w:iCs w:val="false"/>
          <w:color w:val="000000"/>
          <w:sz w:val="24"/>
          <w:szCs w:val="24"/>
        </w:rPr>
        <w:t>eventualmente</w:t>
      </w:r>
      <w:r>
        <w:rPr>
          <w:rStyle w:val="Normaltextrun"/>
          <w:rFonts w:ascii="Calibri Light" w:hAnsi="Calibri Light"/>
          <w:i w:val="false"/>
          <w:iCs w:val="false"/>
          <w:color w:val="000000"/>
          <w:sz w:val="24"/>
          <w:szCs w:val="24"/>
        </w:rPr>
        <w:t xml:space="preserve"> devido pelo Contratante ao Contratado, além da perda desse valor, a diferença será descontada da garantia prestada ou será cobrada judicialmente.</w:t>
      </w:r>
    </w:p>
    <w:p>
      <w:pPr>
        <w:pStyle w:val="Nvel02"/>
        <w:numPr>
          <w:ilvl w:val="1"/>
          <w:numId w:val="3"/>
        </w:numPr>
        <w:ind w:left="0" w:right="0" w:hanging="0"/>
        <w:rPr/>
      </w:pPr>
      <w:r>
        <w:rPr>
          <w:rStyle w:val="Normaltextrun"/>
          <w:rFonts w:ascii="Calibri Light" w:hAnsi="Calibri Light"/>
          <w:i w:val="false"/>
          <w:iCs w:val="false"/>
          <w:color w:val="000000"/>
          <w:sz w:val="24"/>
          <w:szCs w:val="24"/>
        </w:rPr>
        <w:t xml:space="preserve">A multa poderá ser recolhida </w:t>
      </w:r>
      <w:r>
        <w:rPr>
          <w:rFonts w:ascii="Calibri Light" w:hAnsi="Calibri Light"/>
          <w:i w:val="false"/>
          <w:iCs w:val="false"/>
          <w:color w:val="000000"/>
          <w:sz w:val="24"/>
          <w:szCs w:val="24"/>
        </w:rPr>
        <w:t>administrativamente</w:t>
      </w:r>
      <w:r>
        <w:rPr>
          <w:rStyle w:val="Normaltextrun"/>
          <w:rFonts w:ascii="Calibri Light" w:hAnsi="Calibri Light"/>
          <w:i w:val="false"/>
          <w:iCs w:val="false"/>
          <w:color w:val="000000"/>
          <w:sz w:val="24"/>
          <w:szCs w:val="24"/>
        </w:rPr>
        <w:t xml:space="preserve"> no prazo máximo de 30 (trinta</w:t>
        <w:softHyphen/>
        <w:t>) dias, a contar da data do recebimento da comunicação enviada pela autoridade competente.</w:t>
      </w:r>
    </w:p>
    <w:p>
      <w:pPr>
        <w:pStyle w:val="Nvel02"/>
        <w:numPr>
          <w:ilvl w:val="1"/>
          <w:numId w:val="3"/>
        </w:numPr>
        <w:ind w:left="0" w:right="0" w:hanging="0"/>
        <w:rPr/>
      </w:pPr>
      <w:r>
        <w:rPr>
          <w:rStyle w:val="Normaltextrun"/>
          <w:rFonts w:ascii="Calibri Light" w:hAnsi="Calibri Light"/>
          <w:i w:val="false"/>
          <w:iCs w:val="false"/>
          <w:color w:val="000000"/>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pPr>
        <w:pStyle w:val="Nivel3"/>
        <w:numPr>
          <w:ilvl w:val="2"/>
          <w:numId w:val="127"/>
        </w:numPr>
        <w:ind w:left="284" w:right="0" w:hanging="0"/>
        <w:rPr/>
      </w:pPr>
      <w:r>
        <w:rPr>
          <w:rStyle w:val="Normaltextrun"/>
          <w:rFonts w:ascii="Calibri Light" w:hAnsi="Calibri Light"/>
          <w:i w:val="false"/>
          <w:iCs w:val="false"/>
          <w:color w:val="000000"/>
          <w:sz w:val="24"/>
          <w:szCs w:val="24"/>
        </w:rPr>
        <w:t>Para a garantia da ampla defesa e contraditório, as notificações serão enviadas eletronicamente para os endereços de e-mail informados na proposta comercial, bem como os cadastrados pela empresa no SICAF.</w:t>
      </w:r>
    </w:p>
    <w:p>
      <w:pPr>
        <w:pStyle w:val="Nivel3"/>
        <w:numPr>
          <w:ilvl w:val="2"/>
          <w:numId w:val="128"/>
        </w:numPr>
        <w:ind w:left="284" w:right="0" w:hanging="0"/>
        <w:rPr/>
      </w:pPr>
      <w:r>
        <w:rPr>
          <w:rStyle w:val="Normaltextrun"/>
          <w:rFonts w:ascii="Calibri Light" w:hAnsi="Calibri Light"/>
          <w:i w:val="false"/>
          <w:iCs w:val="false"/>
          <w:color w:val="000000"/>
          <w:sz w:val="24"/>
          <w:szCs w:val="24"/>
        </w:rPr>
        <w:t>Os endereços de e-mail informados na proposta comercial e/ou cadastrados no SICAF serão considerados de uso contínuo da empresa, não cabendo alegação de desconhecimento das comunicações a eles comprovadamente enviadas.</w:t>
      </w:r>
    </w:p>
    <w:p>
      <w:pPr>
        <w:pStyle w:val="Nvel02"/>
        <w:numPr>
          <w:ilvl w:val="1"/>
          <w:numId w:val="3"/>
        </w:numPr>
        <w:ind w:left="0" w:right="0" w:hanging="0"/>
        <w:rPr/>
      </w:pPr>
      <w:r>
        <w:rPr>
          <w:rStyle w:val="Normaltextrun"/>
          <w:rFonts w:ascii="Calibri Light" w:hAnsi="Calibri Light"/>
          <w:i w:val="false"/>
          <w:iCs w:val="false"/>
          <w:color w:val="000000"/>
          <w:sz w:val="24"/>
          <w:szCs w:val="24"/>
        </w:rPr>
        <w:t xml:space="preserve">Na aplicação </w:t>
      </w:r>
      <w:r>
        <w:rPr>
          <w:rFonts w:ascii="Calibri Light" w:hAnsi="Calibri Light"/>
          <w:i w:val="false"/>
          <w:iCs w:val="false"/>
          <w:color w:val="000000"/>
          <w:sz w:val="24"/>
          <w:szCs w:val="24"/>
        </w:rPr>
        <w:t>das</w:t>
      </w:r>
      <w:r>
        <w:rPr>
          <w:rStyle w:val="Normaltextrun"/>
          <w:rFonts w:ascii="Calibri Light" w:hAnsi="Calibri Light"/>
          <w:i w:val="false"/>
          <w:iCs w:val="false"/>
          <w:color w:val="000000"/>
          <w:sz w:val="24"/>
          <w:szCs w:val="24"/>
        </w:rPr>
        <w:t xml:space="preserve"> sanções serão considerados:</w:t>
      </w:r>
    </w:p>
    <w:p>
      <w:pPr>
        <w:pStyle w:val="Nivel3"/>
        <w:numPr>
          <w:ilvl w:val="2"/>
          <w:numId w:val="129"/>
        </w:numPr>
        <w:ind w:left="284" w:right="0" w:hanging="0"/>
        <w:rPr/>
      </w:pPr>
      <w:r>
        <w:rPr>
          <w:rStyle w:val="Normaltextrun"/>
          <w:rFonts w:ascii="Calibri Light" w:hAnsi="Calibri Light"/>
          <w:i w:val="false"/>
          <w:iCs w:val="false"/>
          <w:color w:val="000000"/>
          <w:sz w:val="24"/>
          <w:szCs w:val="24"/>
        </w:rPr>
        <w:t>a natureza e a gravidade da infração cometida;</w:t>
      </w:r>
    </w:p>
    <w:p>
      <w:pPr>
        <w:pStyle w:val="Nivel3"/>
        <w:numPr>
          <w:ilvl w:val="2"/>
          <w:numId w:val="130"/>
        </w:numPr>
        <w:ind w:left="284" w:right="0" w:hanging="0"/>
        <w:rPr/>
      </w:pPr>
      <w:r>
        <w:rPr>
          <w:rStyle w:val="Normaltextrun"/>
          <w:rFonts w:ascii="Calibri Light" w:hAnsi="Calibri Light"/>
          <w:i w:val="false"/>
          <w:iCs w:val="false"/>
          <w:color w:val="000000"/>
          <w:sz w:val="24"/>
          <w:szCs w:val="24"/>
        </w:rPr>
        <w:t>as peculiaridades do caso concreto;</w:t>
      </w:r>
    </w:p>
    <w:p>
      <w:pPr>
        <w:pStyle w:val="Nivel3"/>
        <w:numPr>
          <w:ilvl w:val="2"/>
          <w:numId w:val="131"/>
        </w:numPr>
        <w:ind w:left="284" w:right="0" w:hanging="0"/>
        <w:rPr/>
      </w:pPr>
      <w:r>
        <w:rPr>
          <w:rStyle w:val="Normaltextrun"/>
          <w:rFonts w:ascii="Calibri Light" w:hAnsi="Calibri Light"/>
          <w:i w:val="false"/>
          <w:iCs w:val="false"/>
          <w:color w:val="000000"/>
          <w:sz w:val="24"/>
          <w:szCs w:val="24"/>
        </w:rPr>
        <w:t>as circunstâncias agravantes ou atenuantes;</w:t>
      </w:r>
    </w:p>
    <w:p>
      <w:pPr>
        <w:pStyle w:val="Nivel3"/>
        <w:numPr>
          <w:ilvl w:val="2"/>
          <w:numId w:val="132"/>
        </w:numPr>
        <w:ind w:left="284" w:right="0" w:hanging="0"/>
        <w:rPr/>
      </w:pPr>
      <w:r>
        <w:rPr>
          <w:rFonts w:ascii="Calibri Light" w:hAnsi="Calibri Light"/>
          <w:i w:val="false"/>
          <w:iCs w:val="false"/>
          <w:color w:val="000000"/>
          <w:sz w:val="24"/>
          <w:szCs w:val="24"/>
        </w:rPr>
        <w:t>os danos que dela provierem para o Contratante;</w:t>
      </w:r>
      <w:r>
        <w:rPr>
          <w:rStyle w:val="Normaltextrun"/>
          <w:rFonts w:cs="Arial" w:ascii="Calibri Light" w:hAnsi="Calibri Light"/>
          <w:i w:val="false"/>
          <w:iCs w:val="false"/>
          <w:color w:val="000000"/>
          <w:sz w:val="24"/>
          <w:szCs w:val="24"/>
        </w:rPr>
        <w:t xml:space="preserve"> </w:t>
      </w:r>
      <w:r>
        <w:rPr>
          <w:rStyle w:val="Normaltextrun"/>
          <w:rFonts w:ascii="Calibri Light" w:hAnsi="Calibri Light"/>
          <w:i w:val="false"/>
          <w:iCs w:val="false"/>
          <w:color w:val="000000"/>
          <w:sz w:val="24"/>
          <w:szCs w:val="24"/>
        </w:rPr>
        <w:t>e</w:t>
      </w:r>
    </w:p>
    <w:p>
      <w:pPr>
        <w:pStyle w:val="Nivel3"/>
        <w:numPr>
          <w:ilvl w:val="2"/>
          <w:numId w:val="133"/>
        </w:numPr>
        <w:ind w:left="284" w:right="0" w:hanging="0"/>
        <w:rPr/>
      </w:pPr>
      <w:r>
        <w:rPr>
          <w:rStyle w:val="Normaltextrun"/>
          <w:rFonts w:ascii="Calibri Light" w:hAnsi="Calibri Light"/>
          <w:i w:val="false"/>
          <w:iCs w:val="false"/>
          <w:color w:val="000000"/>
          <w:sz w:val="24"/>
          <w:szCs w:val="24"/>
        </w:rPr>
        <w:t>a implantação ou o aperfeiçoamento de programa de integridade, conforme normas e orientações dos órgãos de controle.</w:t>
      </w:r>
    </w:p>
    <w:p>
      <w:pPr>
        <w:pStyle w:val="Nvel02"/>
        <w:numPr>
          <w:ilvl w:val="1"/>
          <w:numId w:val="3"/>
        </w:numPr>
        <w:ind w:left="0" w:right="0" w:hanging="0"/>
        <w:rPr/>
      </w:pPr>
      <w:r>
        <w:rPr>
          <w:rStyle w:val="Normaltextrun"/>
          <w:rFonts w:ascii="Calibri Light" w:hAnsi="Calibri Light"/>
          <w:i w:val="false"/>
          <w:iCs w:val="false"/>
          <w:color w:val="000000"/>
          <w:sz w:val="24"/>
          <w:szCs w:val="24"/>
        </w:rPr>
        <w:t xml:space="preserve">Os atos previstos como infrações administrativas na Lei nº 14.133, de 2021, ou em outras leis de licitações e contratos da </w:t>
      </w:r>
      <w:r>
        <w:rPr>
          <w:rFonts w:ascii="Calibri Light" w:hAnsi="Calibri Light"/>
          <w:i w:val="false"/>
          <w:iCs w:val="false"/>
          <w:color w:val="000000"/>
          <w:sz w:val="24"/>
          <w:szCs w:val="24"/>
        </w:rPr>
        <w:t>Administração</w:t>
      </w:r>
      <w:r>
        <w:rPr>
          <w:rStyle w:val="Normaltextrun"/>
          <w:rFonts w:ascii="Calibri Light" w:hAnsi="Calibri Light"/>
          <w:i w:val="false"/>
          <w:iCs w:val="false"/>
          <w:color w:val="000000"/>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pPr>
        <w:pStyle w:val="Nvel02"/>
        <w:numPr>
          <w:ilvl w:val="1"/>
          <w:numId w:val="3"/>
        </w:numPr>
        <w:ind w:left="0" w:right="0" w:hanging="0"/>
        <w:rPr/>
      </w:pPr>
      <w:r>
        <w:rPr>
          <w:rStyle w:val="Normaltextrun"/>
          <w:rFonts w:ascii="Calibri Light" w:hAnsi="Calibri Light"/>
          <w:i w:val="false"/>
          <w:iCs w:val="false"/>
          <w:color w:val="000000"/>
          <w:sz w:val="24"/>
          <w:szCs w:val="24"/>
        </w:rPr>
        <w:t xml:space="preserve">A personalidade jurídica do Contratado poderá ser desconsiderada sempre que utilizada com abuso do direito para facilitar, encobrir ou dissimular a prática dos atos ilícitos </w:t>
      </w:r>
      <w:bookmarkStart w:id="9" w:name="_Hlk170830482"/>
      <w:r>
        <w:rPr>
          <w:rStyle w:val="Normaltextrun"/>
          <w:rFonts w:ascii="Calibri Light" w:hAnsi="Calibri Light"/>
          <w:i w:val="false"/>
          <w:iCs w:val="false"/>
          <w:color w:val="000000"/>
          <w:sz w:val="24"/>
          <w:szCs w:val="24"/>
        </w:rPr>
        <w:t xml:space="preserve">previstos </w:t>
      </w:r>
      <w:r>
        <w:rPr>
          <w:rFonts w:ascii="Calibri Light" w:hAnsi="Calibri Light"/>
          <w:i w:val="false"/>
          <w:iCs w:val="false"/>
          <w:color w:val="000000"/>
          <w:sz w:val="24"/>
          <w:szCs w:val="24"/>
        </w:rPr>
        <w:t>neste Termo de Referência</w:t>
      </w:r>
      <w:bookmarkEnd w:id="9"/>
      <w:r>
        <w:rPr>
          <w:rStyle w:val="Normaltextrun"/>
          <w:rFonts w:ascii="Calibri Light" w:hAnsi="Calibri Light"/>
          <w:i w:val="false"/>
          <w:iCs w:val="false"/>
          <w:color w:val="000000"/>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pPr>
        <w:pStyle w:val="Nvel02"/>
        <w:numPr>
          <w:ilvl w:val="1"/>
          <w:numId w:val="3"/>
        </w:numPr>
        <w:ind w:left="0" w:right="0" w:hanging="0"/>
        <w:rPr/>
      </w:pPr>
      <w:r>
        <w:rPr>
          <w:rStyle w:val="Normaltextrun"/>
          <w:rFonts w:ascii="Calibri Light" w:hAnsi="Calibri Light"/>
          <w:i w:val="false"/>
          <w:iCs w:val="false"/>
          <w:color w:val="000000"/>
          <w:sz w:val="24"/>
          <w:szCs w:val="24"/>
        </w:rPr>
        <w:t xml:space="preserve">O Contratante deverá, no prazo máximo de 15 (quinze) dias úteis, contado da data de aplicação da sanção, </w:t>
      </w:r>
      <w:r>
        <w:rPr>
          <w:rFonts w:ascii="Calibri Light" w:hAnsi="Calibri Light"/>
          <w:i w:val="false"/>
          <w:iCs w:val="false"/>
          <w:color w:val="000000"/>
          <w:sz w:val="24"/>
          <w:szCs w:val="24"/>
        </w:rPr>
        <w:t>informar</w:t>
      </w:r>
      <w:r>
        <w:rPr>
          <w:rStyle w:val="Normaltextrun"/>
          <w:rFonts w:ascii="Calibri Light" w:hAnsi="Calibri Light"/>
          <w:i w:val="false"/>
          <w:iCs w:val="false"/>
          <w:color w:val="000000"/>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pPr>
        <w:pStyle w:val="Nivel3"/>
        <w:numPr>
          <w:ilvl w:val="2"/>
          <w:numId w:val="3"/>
        </w:numPr>
        <w:ind w:left="284" w:right="0" w:hanging="0"/>
        <w:rPr>
          <w:rFonts w:ascii="Calibri Light" w:hAnsi="Calibri Light"/>
        </w:rPr>
      </w:pPr>
      <w:r>
        <w:rPr>
          <w:rFonts w:ascii="Calibri Light" w:hAnsi="Calibri Light"/>
          <w:i w:val="false"/>
          <w:iCs w:val="false"/>
          <w:color w:val="000000"/>
          <w:sz w:val="24"/>
          <w:szCs w:val="24"/>
          <w:shd w:fill="FFFFFF" w:val="clear"/>
        </w:rPr>
        <w:t>As penalidades serão obrigatoriamente registradas no SICAF.</w:t>
      </w:r>
    </w:p>
    <w:p>
      <w:pPr>
        <w:pStyle w:val="Nvel02"/>
        <w:numPr>
          <w:ilvl w:val="1"/>
          <w:numId w:val="3"/>
        </w:numPr>
        <w:ind w:left="0" w:right="0" w:hanging="0"/>
        <w:rPr/>
      </w:pPr>
      <w:r>
        <w:rPr>
          <w:rStyle w:val="Normaltextrun"/>
          <w:rFonts w:ascii="Calibri Light" w:hAnsi="Calibri Light"/>
          <w:i w:val="false"/>
          <w:iCs w:val="false"/>
          <w:color w:val="000000"/>
          <w:sz w:val="24"/>
          <w:szCs w:val="24"/>
        </w:rPr>
        <w:t xml:space="preserve">As sanções de impedimento de licitar e contratar e declaração de inidoneidade para licitar ou contratar são passíveis </w:t>
      </w:r>
      <w:r>
        <w:rPr>
          <w:rFonts w:ascii="Calibri Light" w:hAnsi="Calibri Light"/>
          <w:i w:val="false"/>
          <w:iCs w:val="false"/>
          <w:color w:val="000000"/>
          <w:sz w:val="24"/>
          <w:szCs w:val="24"/>
        </w:rPr>
        <w:t>de</w:t>
      </w:r>
      <w:r>
        <w:rPr>
          <w:rStyle w:val="Normaltextrun"/>
          <w:rFonts w:ascii="Calibri Light" w:hAnsi="Calibri Light"/>
          <w:i w:val="false"/>
          <w:iCs w:val="false"/>
          <w:color w:val="000000"/>
          <w:sz w:val="24"/>
          <w:szCs w:val="24"/>
        </w:rPr>
        <w:t xml:space="preserve"> reabilitação na forma do art. 163 da Lei nº 14.133, de 2021.</w:t>
      </w:r>
    </w:p>
    <w:p>
      <w:pPr>
        <w:pStyle w:val="Nvel02"/>
        <w:numPr>
          <w:ilvl w:val="1"/>
          <w:numId w:val="3"/>
        </w:numPr>
        <w:ind w:left="0" w:right="0" w:hanging="0"/>
        <w:rPr/>
      </w:pPr>
      <w:r>
        <w:rPr>
          <w:rFonts w:ascii="Calibri Light" w:hAnsi="Calibri Light"/>
          <w:i w:val="false"/>
          <w:iCs w:val="false"/>
          <w:color w:val="000000"/>
          <w:sz w:val="24"/>
          <w:szCs w:val="24"/>
        </w:rPr>
        <w:t>Os</w:t>
      </w:r>
      <w:r>
        <w:rPr>
          <w:rStyle w:val="Normaltextrun"/>
          <w:rFonts w:ascii="Calibri Light" w:hAnsi="Calibri Light"/>
          <w:i w:val="false"/>
          <w:iCs w:val="false"/>
          <w:color w:val="000000"/>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pPr>
        <w:pStyle w:val="Nivel01"/>
        <w:numPr>
          <w:ilvl w:val="0"/>
          <w:numId w:val="3"/>
        </w:numPr>
        <w:ind w:left="357" w:right="0" w:hanging="357"/>
        <w:rPr>
          <w:rFonts w:ascii="Calibri Light" w:hAnsi="Calibri Light"/>
        </w:rPr>
      </w:pPr>
      <w:r>
        <w:rPr>
          <w:rFonts w:ascii="Calibri Light" w:hAnsi="Calibri Light"/>
          <w:i w:val="false"/>
          <w:iCs w:val="false"/>
          <w:color w:val="000000"/>
          <w:sz w:val="24"/>
          <w:szCs w:val="24"/>
        </w:rPr>
        <w:t>CRITÉRIOS DE MEDIÇÃO E DE PAGAMENTO</w:t>
      </w:r>
    </w:p>
    <w:p>
      <w:pPr>
        <w:pStyle w:val="Nvel1-SemNumerao"/>
        <w:ind w:left="0" w:right="0" w:hanging="0"/>
        <w:rPr>
          <w:rFonts w:ascii="Calibri Light" w:hAnsi="Calibri Light"/>
        </w:rPr>
      </w:pPr>
      <w:r>
        <w:rPr>
          <w:rFonts w:ascii="Calibri Light" w:hAnsi="Calibri Light"/>
          <w:i w:val="false"/>
          <w:iCs w:val="false"/>
          <w:color w:val="000000"/>
          <w:sz w:val="24"/>
          <w:szCs w:val="24"/>
        </w:rPr>
        <w:t>Recebimento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 xml:space="preserve">Os bens serão recebidos provisoriamente, de forma sumária, no ato da entrega, juntamente com a </w:t>
      </w:r>
      <w:r>
        <w:rPr>
          <w:rFonts w:eastAsia="Calibri" w:ascii="Calibri Light" w:hAnsi="Calibri Light"/>
          <w:i w:val="false"/>
          <w:iCs w:val="false"/>
          <w:color w:val="000000"/>
          <w:sz w:val="24"/>
          <w:szCs w:val="24"/>
          <w:lang w:eastAsia="en-US"/>
        </w:rPr>
        <w:t>nota</w:t>
      </w:r>
      <w:r>
        <w:rPr>
          <w:rFonts w:ascii="Calibri Light" w:hAnsi="Calibri Light"/>
          <w:i w:val="false"/>
          <w:iCs w:val="false"/>
          <w:color w:val="000000"/>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Para as contratações decorrentes de despesas cujos valores não ultrapassem o limite de que trata o inciso II do art. 75 da Lei nº 14.133, de 2021, o prazo máximo para o recebimento definitivo será de até 5 (cinco) dias úteis.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O recebimento provisório ou definitivo não excluirá a responsabilidade civil pela solidez e pela segurança dos bens nem a responsabilidade ético-profissional pela perfeita execução do contrato.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As atividades de montagem, instalação e quaisquer outras necessárias para o funcionamento ou uso do bem correrão por conta do Contratado e são condição para o recebimento do objeto.</w:t>
      </w:r>
    </w:p>
    <w:p>
      <w:pPr>
        <w:pStyle w:val="Nvel1-SemNumerao"/>
        <w:ind w:left="0" w:right="0" w:hanging="0"/>
        <w:rPr>
          <w:rFonts w:ascii="Calibri Light" w:hAnsi="Calibri Light"/>
        </w:rPr>
      </w:pPr>
      <w:r>
        <w:rPr>
          <w:rFonts w:ascii="Calibri Light" w:hAnsi="Calibri Light"/>
          <w:i w:val="false"/>
          <w:iCs w:val="false"/>
          <w:color w:val="000000"/>
          <w:sz w:val="24"/>
          <w:szCs w:val="24"/>
        </w:rPr>
        <w:t>Liquidação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Recebida a Nota Fiscal ou documento de cobrança equivalente, correrá o prazo de dez dias úteis para fins de liquidação, na forma desta seção, prorrogáveis por igual período, nos termos do art. 7º, §3º da Instrução Normativa SEGES/ME nº 77/2022.</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134"/>
        </w:numPr>
        <w:ind w:left="284" w:right="0" w:hanging="0"/>
        <w:rPr>
          <w:rFonts w:ascii="Calibri Light" w:hAnsi="Calibri Light"/>
        </w:rPr>
      </w:pPr>
      <w:r>
        <w:rPr>
          <w:rFonts w:ascii="Calibri Light" w:hAnsi="Calibri Light"/>
          <w:i w:val="false"/>
          <w:iCs w:val="false"/>
          <w:color w:val="000000"/>
          <w:sz w:val="24"/>
          <w:szCs w:val="24"/>
        </w:rPr>
        <w:t>o prazo de validade;</w:t>
      </w:r>
    </w:p>
    <w:p>
      <w:pPr>
        <w:pStyle w:val="Nivel3"/>
        <w:numPr>
          <w:ilvl w:val="2"/>
          <w:numId w:val="135"/>
        </w:numPr>
        <w:ind w:left="284" w:right="0" w:hanging="0"/>
        <w:rPr>
          <w:rFonts w:ascii="Calibri Light" w:hAnsi="Calibri Light"/>
        </w:rPr>
      </w:pPr>
      <w:r>
        <w:rPr>
          <w:rFonts w:ascii="Calibri Light" w:hAnsi="Calibri Light"/>
          <w:i w:val="false"/>
          <w:iCs w:val="false"/>
          <w:color w:val="000000"/>
          <w:sz w:val="24"/>
          <w:szCs w:val="24"/>
        </w:rPr>
        <w:t xml:space="preserve">a data da emissão; </w:t>
      </w:r>
    </w:p>
    <w:p>
      <w:pPr>
        <w:pStyle w:val="Nivel3"/>
        <w:numPr>
          <w:ilvl w:val="2"/>
          <w:numId w:val="136"/>
        </w:numPr>
        <w:ind w:left="284" w:right="0" w:hanging="0"/>
        <w:rPr>
          <w:rFonts w:ascii="Calibri Light" w:hAnsi="Calibri Light"/>
        </w:rPr>
      </w:pPr>
      <w:r>
        <w:rPr>
          <w:rFonts w:ascii="Calibri Light" w:hAnsi="Calibri Light"/>
          <w:i w:val="false"/>
          <w:iCs w:val="false"/>
          <w:color w:val="000000"/>
          <w:sz w:val="24"/>
          <w:szCs w:val="24"/>
        </w:rPr>
        <w:t xml:space="preserve">os dados do contrato e do órgão contratante; </w:t>
      </w:r>
    </w:p>
    <w:p>
      <w:pPr>
        <w:pStyle w:val="Nivel3"/>
        <w:numPr>
          <w:ilvl w:val="2"/>
          <w:numId w:val="137"/>
        </w:numPr>
        <w:ind w:left="284" w:right="0" w:hanging="0"/>
        <w:rPr>
          <w:rFonts w:ascii="Calibri Light" w:hAnsi="Calibri Light"/>
        </w:rPr>
      </w:pPr>
      <w:r>
        <w:rPr>
          <w:rFonts w:ascii="Calibri Light" w:hAnsi="Calibri Light"/>
          <w:i w:val="false"/>
          <w:iCs w:val="false"/>
          <w:color w:val="000000"/>
          <w:sz w:val="24"/>
          <w:szCs w:val="24"/>
        </w:rPr>
        <w:t xml:space="preserve">o período respectivo de execução do contrato; </w:t>
      </w:r>
    </w:p>
    <w:p>
      <w:pPr>
        <w:pStyle w:val="Nivel3"/>
        <w:numPr>
          <w:ilvl w:val="2"/>
          <w:numId w:val="138"/>
        </w:numPr>
        <w:ind w:left="284" w:right="0" w:hanging="0"/>
        <w:rPr>
          <w:rFonts w:ascii="Calibri Light" w:hAnsi="Calibri Light"/>
        </w:rPr>
      </w:pPr>
      <w:r>
        <w:rPr>
          <w:rFonts w:ascii="Calibri Light" w:hAnsi="Calibri Light"/>
          <w:i w:val="false"/>
          <w:iCs w:val="false"/>
          <w:color w:val="000000"/>
          <w:sz w:val="24"/>
          <w:szCs w:val="24"/>
        </w:rPr>
        <w:t xml:space="preserve">o valor a pagar; e </w:t>
      </w:r>
    </w:p>
    <w:p>
      <w:pPr>
        <w:pStyle w:val="Nivel3"/>
        <w:numPr>
          <w:ilvl w:val="2"/>
          <w:numId w:val="139"/>
        </w:numPr>
        <w:ind w:left="284" w:right="0" w:hanging="0"/>
        <w:rPr>
          <w:rFonts w:ascii="Calibri Light" w:hAnsi="Calibri Light"/>
        </w:rPr>
      </w:pPr>
      <w:r>
        <w:rPr>
          <w:rFonts w:ascii="Calibri Light" w:hAnsi="Calibri Light"/>
          <w:i w:val="false"/>
          <w:iCs w:val="false"/>
          <w:color w:val="000000"/>
          <w:sz w:val="24"/>
          <w:szCs w:val="24"/>
        </w:rPr>
        <w:t>eventual destaque do valor de retenções tributárias cabíveis.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 xml:space="preserve"> </w:t>
      </w:r>
      <w:r>
        <w:rPr>
          <w:rFonts w:ascii="Calibri Light" w:hAnsi="Calibri Light"/>
          <w:i w:val="false"/>
          <w:iCs w:val="false"/>
          <w:color w:val="000000"/>
          <w:sz w:val="24"/>
          <w:szCs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 xml:space="preserve"> </w:t>
      </w:r>
      <w:r>
        <w:rPr>
          <w:rFonts w:ascii="Calibri Light" w:hAnsi="Calibri Light"/>
          <w:i w:val="false"/>
          <w:iCs w:val="false"/>
          <w:color w:val="000000"/>
          <w:sz w:val="24"/>
          <w:szCs w:val="24"/>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A Administração deverá realizar consulta ao SICAF para:</w:t>
      </w:r>
    </w:p>
    <w:p>
      <w:pPr>
        <w:pStyle w:val="Nivel3"/>
        <w:numPr>
          <w:ilvl w:val="2"/>
          <w:numId w:val="140"/>
        </w:numPr>
        <w:ind w:left="284" w:right="0" w:hanging="0"/>
        <w:rPr>
          <w:rFonts w:ascii="Calibri Light" w:hAnsi="Calibri Light"/>
        </w:rPr>
      </w:pPr>
      <w:r>
        <w:rPr>
          <w:rFonts w:ascii="Calibri Light" w:hAnsi="Calibri Light"/>
          <w:i w:val="false"/>
          <w:iCs w:val="false"/>
          <w:color w:val="000000"/>
          <w:sz w:val="24"/>
          <w:szCs w:val="24"/>
        </w:rPr>
        <w:t>verificar a manutenção das condições de habilitação exigidas;</w:t>
      </w:r>
    </w:p>
    <w:p>
      <w:pPr>
        <w:pStyle w:val="Nivel3"/>
        <w:numPr>
          <w:ilvl w:val="2"/>
          <w:numId w:val="141"/>
        </w:numPr>
        <w:ind w:left="284" w:right="0" w:hanging="0"/>
        <w:rPr>
          <w:rFonts w:ascii="Calibri Light" w:hAnsi="Calibri Light"/>
        </w:rPr>
      </w:pPr>
      <w:r>
        <w:rPr>
          <w:rFonts w:ascii="Calibri Light" w:hAnsi="Calibri Light"/>
          <w:i w:val="false"/>
          <w:iCs w:val="false"/>
          <w:color w:val="000000"/>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Havendo a efetiva execução do objeto, os pagamentos serão realizados normalmente, até que se decida pela rescisão do contrato, caso o Contratado não regularize sua situação junto ao SICAF.</w:t>
      </w:r>
    </w:p>
    <w:p>
      <w:pPr>
        <w:pStyle w:val="Nvel1-SemNumerao"/>
        <w:ind w:left="0" w:right="0" w:hanging="0"/>
        <w:rPr>
          <w:rFonts w:ascii="Calibri Light" w:hAnsi="Calibri Light"/>
        </w:rPr>
      </w:pPr>
      <w:r>
        <w:rPr>
          <w:rFonts w:ascii="Calibri Light" w:hAnsi="Calibri Light"/>
          <w:i w:val="false"/>
          <w:iCs w:val="false"/>
          <w:color w:val="000000"/>
          <w:sz w:val="24"/>
          <w:szCs w:val="24"/>
        </w:rPr>
        <w:t>Prazo de pagamento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 pagamento será efetuado no prazo de até 10 (dez) dias úteis contados da finalização da liquidação da despesa, conforme seção anterior, nos termos da Instrução Normativa SEGES/ME nº 77, de 2022.</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No caso de atraso pelo Contratante, os valores devidos ao Contratado serão atualizados monetariamente entre o termo final do prazo de pagamento até a data de sua efetiva realização, mediante aplicação do índice IPCA de correção monetária.</w:t>
      </w:r>
    </w:p>
    <w:p>
      <w:pPr>
        <w:pStyle w:val="Nvel1-SemNumerao"/>
        <w:ind w:left="0" w:right="0" w:hanging="0"/>
        <w:rPr>
          <w:rFonts w:ascii="Calibri Light" w:hAnsi="Calibri Light"/>
        </w:rPr>
      </w:pPr>
      <w:r>
        <w:rPr>
          <w:rFonts w:ascii="Calibri Light" w:hAnsi="Calibri Light"/>
          <w:i w:val="false"/>
          <w:iCs w:val="false"/>
          <w:color w:val="000000"/>
          <w:sz w:val="24"/>
          <w:szCs w:val="24"/>
        </w:rPr>
        <w:t>Forma de pagamento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 pagamento será realizado por meio de ordem bancária, para crédito em banco, agência e conta corrente indicados pelo Contratado.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Será considerada data do pagamento o dia em que constar como emitida a ordem bancária para pagamento.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Quando do pagamento, será efetuada a retenção tributária prevista na legislação aplicável.</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Independentemente</w:t>
      </w:r>
      <w:r>
        <w:rPr>
          <w:rFonts w:ascii="Calibri Light" w:hAnsi="Calibri Light"/>
          <w:i w:val="false"/>
          <w:iCs w:val="false"/>
          <w:color w:val="000000"/>
          <w:sz w:val="24"/>
          <w:szCs w:val="24"/>
          <w:lang w:eastAsia="en-US"/>
        </w:rPr>
        <w:t xml:space="preserve"> do percentual de tributo inserido na planilha, quando houver, serão retidos na fonte, quando da realização do pagamento, os percentuais estabelecidos na legislação vigente.</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erao"/>
        <w:ind w:left="0" w:right="0" w:hanging="0"/>
        <w:rPr>
          <w:rFonts w:ascii="Calibri Light" w:hAnsi="Calibri Light"/>
        </w:rPr>
      </w:pPr>
      <w:r>
        <w:rPr>
          <w:rFonts w:ascii="Calibri Light" w:hAnsi="Calibri Light"/>
          <w:i w:val="false"/>
          <w:iCs w:val="false"/>
          <w:color w:val="000000"/>
          <w:sz w:val="24"/>
          <w:szCs w:val="24"/>
          <w:lang w:eastAsia="en-US"/>
        </w:rPr>
        <w:t>Cessão de Crédito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As cessões de crédito dependerão de prévia aprovação do Contratante.</w:t>
      </w:r>
    </w:p>
    <w:p>
      <w:pPr>
        <w:pStyle w:val="Nivel3"/>
        <w:numPr>
          <w:ilvl w:val="2"/>
          <w:numId w:val="142"/>
        </w:numPr>
        <w:ind w:left="284" w:right="0" w:hanging="0"/>
        <w:rPr>
          <w:rFonts w:ascii="Calibri Light" w:hAnsi="Calibri Light"/>
        </w:rPr>
      </w:pPr>
      <w:r>
        <w:rPr>
          <w:rFonts w:ascii="Calibri Light" w:hAnsi="Calibri Light"/>
          <w:i w:val="false"/>
          <w:iCs w:val="false"/>
          <w:color w:val="000000"/>
          <w:sz w:val="24"/>
          <w:szCs w:val="24"/>
          <w:lang w:eastAsia="en-US"/>
        </w:rPr>
        <w:t>A eficácia da cessão de crédito, em relação à Administração, está condicionada à celebração de termo aditivo ao contrato administrativo.</w:t>
      </w:r>
    </w:p>
    <w:p>
      <w:pPr>
        <w:pStyle w:val="Nivel3"/>
        <w:numPr>
          <w:ilvl w:val="2"/>
          <w:numId w:val="143"/>
        </w:numPr>
        <w:ind w:left="284" w:right="0" w:hanging="0"/>
        <w:rPr>
          <w:rFonts w:ascii="Calibri Light" w:hAnsi="Calibri Light"/>
        </w:rPr>
      </w:pPr>
      <w:r>
        <w:rPr>
          <w:rFonts w:ascii="Calibri Light" w:hAnsi="Calibri Light"/>
          <w:i w:val="false"/>
          <w:iCs w:val="false"/>
          <w:color w:val="000000"/>
          <w:sz w:val="24"/>
          <w:szCs w:val="24"/>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pPr>
        <w:pStyle w:val="Nivel3"/>
        <w:numPr>
          <w:ilvl w:val="2"/>
          <w:numId w:val="144"/>
        </w:numPr>
        <w:ind w:left="284" w:right="0" w:hanging="0"/>
        <w:rPr>
          <w:rFonts w:ascii="Calibri Light" w:hAnsi="Calibri Light"/>
        </w:rPr>
      </w:pPr>
      <w:r>
        <w:rPr>
          <w:rFonts w:ascii="Calibri Light" w:hAnsi="Calibri Light"/>
          <w:i w:val="false"/>
          <w:iCs w:val="false"/>
          <w:color w:val="000000"/>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pPr>
        <w:pStyle w:val="Nivel3"/>
        <w:numPr>
          <w:ilvl w:val="2"/>
          <w:numId w:val="145"/>
        </w:numPr>
        <w:ind w:left="284" w:right="0" w:hanging="0"/>
        <w:rPr>
          <w:rFonts w:ascii="Calibri Light" w:hAnsi="Calibri Light"/>
        </w:rPr>
      </w:pPr>
      <w:r>
        <w:rPr>
          <w:rFonts w:ascii="Calibri Light" w:hAnsi="Calibri Light"/>
          <w:i w:val="false"/>
          <w:iCs w:val="false"/>
          <w:color w:val="000000"/>
          <w:sz w:val="24"/>
          <w:szCs w:val="24"/>
          <w:lang w:eastAsia="en-US"/>
        </w:rPr>
        <w:t>A cessão de crédito não afetará a execução do objeto contratado, que continuará sob a integral responsabilidade do Contratado.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lang w:eastAsia="en-US"/>
        </w:rPr>
        <w:t>O disposto nesta seção não afeta as operações de crédito de que trata a Instrução Normativa SEGES/MGI nº 82, de 21 de fevereiro de 2025, as quais ficam por esta regidas.</w:t>
      </w:r>
    </w:p>
    <w:p>
      <w:pPr>
        <w:pStyle w:val="Nvel1-SemNumerao"/>
        <w:ind w:left="0" w:right="0" w:hanging="0"/>
        <w:rPr>
          <w:rFonts w:ascii="Calibri Light" w:hAnsi="Calibri Light"/>
        </w:rPr>
      </w:pPr>
      <w:r>
        <w:rPr>
          <w:rFonts w:ascii="Calibri Light" w:hAnsi="Calibri Light"/>
          <w:i w:val="false"/>
          <w:iCs w:val="false"/>
          <w:color w:val="000000"/>
          <w:sz w:val="24"/>
          <w:szCs w:val="24"/>
        </w:rPr>
        <w:t>Reajuste</w:t>
      </w:r>
    </w:p>
    <w:p>
      <w:pPr>
        <w:pStyle w:val="Nvel02"/>
        <w:numPr>
          <w:ilvl w:val="1"/>
          <w:numId w:val="3"/>
        </w:numPr>
        <w:ind w:left="0" w:right="0" w:hanging="0"/>
        <w:rPr>
          <w:rFonts w:ascii="Calibri Light" w:hAnsi="Calibri Light"/>
        </w:rPr>
      </w:pPr>
      <w:bookmarkStart w:id="10" w:name="_Hlk169693537"/>
      <w:r>
        <w:rPr>
          <w:rFonts w:ascii="Calibri Light" w:hAnsi="Calibri Light"/>
          <w:i w:val="false"/>
          <w:iCs w:val="false"/>
          <w:color w:val="000000"/>
          <w:sz w:val="24"/>
          <w:szCs w:val="24"/>
        </w:rPr>
        <w:t xml:space="preserve">Os preços inicialmente contratados são fixos e irreajustáveis no prazo de um ano contado da data do orçamento estimado, em </w:t>
      </w:r>
      <w:bookmarkEnd w:id="10"/>
      <w:r>
        <w:rPr>
          <w:rFonts w:ascii="Calibri Light" w:hAnsi="Calibri Light"/>
          <w:i w:val="false"/>
          <w:iCs w:val="false"/>
          <w:color w:val="000000"/>
          <w:sz w:val="24"/>
          <w:szCs w:val="24"/>
        </w:rPr>
        <w:t>12 meses.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Após o interregno de um ano, e independentemente de pedido do Contratado, os preços iniciais serão reajustados, mediante a aplicação, pelo Contratante, do índice IPCA, exclusivamente para as obrigações iniciadas e concluídas após a ocorrência da anualidade.</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Nos reajustes subsequentes ao primeiro, o interregno mínimo de um ano será contado a partir dos efeitos financeiros do último reajuste.</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Nas aferições finais, o(s) índice(s) utilizado(s) para reajuste será(ão), obrigatoriamente, o(s) definitivo(s).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Caso o(s) índice(s) estabelecido(s) para reajustamento venha(m) a ser extinto(s) ou de qualquer forma não possa(m) mais ser utilizado(s), será(ão) adotado(s), em substituição, o(s) que vier(em) a ser determinado(s) pela legislação então em vigor.</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Na ausência de previsão legal quanto ao índice substituto, as partes elegerão novo índice oficial, para reajustamento do preço do valor remanescente, por meio de termo aditivo.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 reajuste será realizado por apostilamento.</w:t>
      </w:r>
    </w:p>
    <w:p>
      <w:pPr>
        <w:pStyle w:val="Nivel01"/>
        <w:numPr>
          <w:ilvl w:val="0"/>
          <w:numId w:val="3"/>
        </w:numPr>
        <w:ind w:left="357" w:right="0" w:hanging="357"/>
        <w:rPr>
          <w:rFonts w:ascii="Calibri Light" w:hAnsi="Calibri Light"/>
        </w:rPr>
      </w:pPr>
      <w:r>
        <w:rPr>
          <w:rFonts w:ascii="Calibri Light" w:hAnsi="Calibri Light"/>
          <w:i w:val="false"/>
          <w:iCs w:val="false"/>
          <w:color w:val="000000"/>
          <w:sz w:val="24"/>
          <w:szCs w:val="24"/>
        </w:rPr>
        <w:t>FORMA E CRITÉRIOS DE SELEÇÃO DO FORNECEDOR E FORMA DE FORNECIMENTO</w:t>
      </w:r>
    </w:p>
    <w:p>
      <w:pPr>
        <w:pStyle w:val="Nvel1-SemNumerao"/>
        <w:ind w:left="0" w:right="0" w:hanging="0"/>
        <w:rPr>
          <w:rFonts w:ascii="Calibri Light" w:hAnsi="Calibri Light"/>
        </w:rPr>
      </w:pPr>
      <w:r>
        <w:rPr>
          <w:rFonts w:ascii="Calibri Light" w:hAnsi="Calibri Light"/>
          <w:i w:val="false"/>
          <w:iCs w:val="false"/>
          <w:color w:val="000000"/>
          <w:sz w:val="24"/>
          <w:szCs w:val="24"/>
        </w:rPr>
        <w:t>Forma de seleção e critério de julgamento da proposta</w:t>
      </w:r>
    </w:p>
    <w:p>
      <w:pPr>
        <w:pStyle w:val="Nvel02"/>
        <w:numPr>
          <w:ilvl w:val="1"/>
          <w:numId w:val="3"/>
        </w:numPr>
        <w:ind w:left="0" w:right="0" w:hanging="0"/>
        <w:rPr>
          <w:rFonts w:ascii="Calibri Light" w:hAnsi="Calibri Light"/>
        </w:rPr>
      </w:pPr>
      <w:bookmarkStart w:id="11" w:name="_Hlk171371336"/>
      <w:bookmarkStart w:id="12" w:name="_Hlk171371350"/>
      <w:r>
        <w:rPr>
          <w:rFonts w:ascii="Calibri Light" w:hAnsi="Calibri Light"/>
          <w:i w:val="false"/>
          <w:iCs w:val="false"/>
          <w:color w:val="000000"/>
          <w:sz w:val="24"/>
          <w:szCs w:val="24"/>
        </w:rPr>
        <w:t>O fornecedor será selecionado por meio da realização de procedimento de LICITAÇÃO, na modalidade PREGÃO, sob a forma ELETRÔNICA, com adoção do critério de julgamento pelo MENOR PREÇO</w:t>
      </w:r>
      <w:bookmarkEnd w:id="11"/>
      <w:bookmarkEnd w:id="12"/>
      <w:r>
        <w:rPr>
          <w:rFonts w:ascii="Calibri Light" w:hAnsi="Calibri Light"/>
          <w:i w:val="false"/>
          <w:iCs w:val="false"/>
          <w:color w:val="000000"/>
          <w:sz w:val="24"/>
          <w:szCs w:val="24"/>
        </w:rPr>
        <w:t>.</w:t>
      </w:r>
    </w:p>
    <w:p>
      <w:pPr>
        <w:pStyle w:val="Ou"/>
        <w:rPr>
          <w:rFonts w:ascii="Calibri Light" w:hAnsi="Calibri Light"/>
          <w:i w:val="false"/>
          <w:i w:val="false"/>
          <w:iCs w:val="false"/>
          <w:color w:val="000000"/>
          <w:sz w:val="24"/>
          <w:szCs w:val="24"/>
        </w:rPr>
      </w:pPr>
      <w:r>
        <w:rPr>
          <w:rFonts w:ascii="Calibri Light" w:hAnsi="Calibri Light"/>
          <w:i w:val="false"/>
          <w:iCs w:val="false"/>
          <w:color w:val="000000"/>
          <w:sz w:val="24"/>
          <w:szCs w:val="24"/>
        </w:rPr>
      </w:r>
    </w:p>
    <w:p>
      <w:pPr>
        <w:pStyle w:val="Nvel1-SemNumerao"/>
        <w:ind w:left="0" w:right="0" w:hanging="0"/>
        <w:rPr>
          <w:rFonts w:ascii="Calibri Light" w:hAnsi="Calibri Light"/>
        </w:rPr>
      </w:pPr>
      <w:r>
        <w:rPr>
          <w:rFonts w:ascii="Calibri Light" w:hAnsi="Calibri Light"/>
          <w:i w:val="false"/>
          <w:iCs w:val="false"/>
          <w:color w:val="000000"/>
          <w:sz w:val="24"/>
          <w:szCs w:val="24"/>
        </w:rPr>
        <w:t>Forma de fornecimento</w:t>
      </w:r>
    </w:p>
    <w:p>
      <w:pPr>
        <w:pStyle w:val="Nvel02"/>
        <w:numPr>
          <w:ilvl w:val="1"/>
          <w:numId w:val="3"/>
        </w:numPr>
        <w:ind w:left="0" w:right="0" w:hanging="0"/>
        <w:rPr/>
      </w:pPr>
      <w:r>
        <w:rPr>
          <w:rStyle w:val="Normaltextrun"/>
          <w:rFonts w:ascii="Calibri Light" w:hAnsi="Calibri Light"/>
          <w:i w:val="false"/>
          <w:iCs w:val="false"/>
          <w:color w:val="000000"/>
          <w:sz w:val="24"/>
          <w:szCs w:val="24"/>
          <w:shd w:fill="FFFFFF" w:val="clear"/>
        </w:rPr>
        <w:t xml:space="preserve">O </w:t>
      </w:r>
      <w:r>
        <w:rPr>
          <w:rStyle w:val="Findhit"/>
          <w:rFonts w:ascii="Calibri Light" w:hAnsi="Calibri Light"/>
          <w:i w:val="false"/>
          <w:iCs w:val="false"/>
          <w:color w:val="000000"/>
          <w:sz w:val="24"/>
          <w:szCs w:val="24"/>
          <w:shd w:fill="FFFFFF" w:val="clear"/>
        </w:rPr>
        <w:t>fornecimento do objeto será Integral.</w:t>
      </w:r>
    </w:p>
    <w:p>
      <w:pPr>
        <w:pStyle w:val="Nvel1-SemNumerao"/>
        <w:ind w:left="0" w:right="0" w:hanging="0"/>
        <w:rPr>
          <w:rFonts w:ascii="Calibri Light" w:hAnsi="Calibri Light"/>
        </w:rPr>
      </w:pPr>
      <w:r>
        <w:rPr>
          <w:rFonts w:ascii="Calibri Light" w:hAnsi="Calibri Light"/>
          <w:i w:val="false"/>
          <w:iCs w:val="false"/>
          <w:color w:val="000000"/>
          <w:sz w:val="24"/>
          <w:szCs w:val="24"/>
          <w:shd w:fill="FFFFFF" w:val="clear"/>
        </w:rPr>
        <w:t>Critérios de aceitabilidade de preços</w:t>
      </w:r>
    </w:p>
    <w:p>
      <w:pPr>
        <w:pStyle w:val="Nvel2-Opcional"/>
        <w:numPr>
          <w:ilvl w:val="1"/>
          <w:numId w:val="3"/>
        </w:numPr>
        <w:ind w:left="1709" w:right="0" w:hanging="432"/>
        <w:rPr>
          <w:rFonts w:ascii="Calibri Light" w:hAnsi="Calibri Light"/>
        </w:rPr>
      </w:pPr>
      <w:bookmarkStart w:id="13" w:name="_Hlk190336520"/>
      <w:r>
        <w:rPr>
          <w:rFonts w:ascii="Calibri Light" w:hAnsi="Calibri Light"/>
          <w:i w:val="false"/>
          <w:iCs w:val="false"/>
          <w:color w:val="000000"/>
          <w:sz w:val="24"/>
          <w:szCs w:val="24"/>
          <w:shd w:fill="FFFFFF" w:val="clear"/>
        </w:rPr>
        <w:t xml:space="preserve">Em se tratando de contratação para registro de preços, caso adotado o critério de julgamento de menor preço ou de maior desconto por grupo de itens, o critério de aceitabilidade de preços unitários máximos será: </w:t>
      </w:r>
    </w:p>
    <w:p>
      <w:pPr>
        <w:pStyle w:val="Nvel3-Opcional"/>
        <w:numPr>
          <w:ilvl w:val="2"/>
          <w:numId w:val="3"/>
        </w:numPr>
        <w:ind w:left="284" w:right="0" w:hanging="0"/>
        <w:rPr>
          <w:rFonts w:ascii="Calibri Light" w:hAnsi="Calibri Light"/>
        </w:rPr>
      </w:pPr>
      <w:r>
        <w:rPr>
          <w:rFonts w:ascii="Calibri Light" w:hAnsi="Calibri Light"/>
          <w:i w:val="false"/>
          <w:iCs w:val="false"/>
          <w:color w:val="000000"/>
          <w:sz w:val="24"/>
          <w:szCs w:val="24"/>
          <w:shd w:fill="FFFFFF" w:val="clear"/>
        </w:rPr>
        <w:t xml:space="preserve">Valores unitários: conforme planilha de composição de preços anexa ao edital </w:t>
      </w:r>
      <w:r>
        <w:rPr>
          <w:rFonts w:ascii="Calibri Light" w:hAnsi="Calibri Light"/>
          <w:b/>
          <w:bCs/>
          <w:i w:val="false"/>
          <w:iCs w:val="false"/>
          <w:color w:val="000000"/>
          <w:sz w:val="24"/>
          <w:szCs w:val="24"/>
          <w:u w:val="single"/>
          <w:shd w:fill="FFFFFF" w:val="clear"/>
        </w:rPr>
        <w:t>OU</w:t>
      </w:r>
      <w:r>
        <w:rPr>
          <w:rFonts w:ascii="Calibri Light" w:hAnsi="Calibri Light"/>
          <w:i w:val="false"/>
          <w:iCs w:val="false"/>
          <w:color w:val="000000"/>
          <w:sz w:val="24"/>
          <w:szCs w:val="24"/>
          <w:shd w:fill="FFFFFF" w:val="clear"/>
        </w:rPr>
        <w:t xml:space="preserve"> tabela constante no item 1.1 deste Termo de Referência.</w:t>
      </w:r>
      <w:bookmarkEnd w:id="13"/>
    </w:p>
    <w:p>
      <w:pPr>
        <w:pStyle w:val="Nvel1-SemNumerao"/>
        <w:ind w:left="0" w:right="0" w:hanging="0"/>
        <w:rPr>
          <w:rFonts w:ascii="Calibri Light" w:hAnsi="Calibri Light"/>
        </w:rPr>
      </w:pPr>
      <w:r>
        <w:rPr>
          <w:rFonts w:ascii="Calibri Light" w:hAnsi="Calibri Light"/>
          <w:i w:val="false"/>
          <w:iCs w:val="false"/>
          <w:color w:val="000000"/>
          <w:sz w:val="24"/>
          <w:szCs w:val="24"/>
        </w:rPr>
        <w:t>Exigências de habilitação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Para fins de habilitação, deverá o interessado comprovar os seguintes requisitos:</w:t>
      </w:r>
    </w:p>
    <w:p>
      <w:pPr>
        <w:pStyle w:val="Nvel1-SemNumerao"/>
        <w:ind w:left="0" w:right="0" w:hanging="0"/>
        <w:rPr>
          <w:rFonts w:ascii="Calibri Light" w:hAnsi="Calibri Light"/>
        </w:rPr>
      </w:pPr>
      <w:r>
        <w:rPr>
          <w:rFonts w:ascii="Calibri Light" w:hAnsi="Calibri Light"/>
          <w:i w:val="false"/>
          <w:iCs w:val="false"/>
          <w:color w:val="000000"/>
          <w:sz w:val="24"/>
          <w:szCs w:val="24"/>
        </w:rPr>
        <w:t>Habilitação jurídica</w:t>
      </w:r>
    </w:p>
    <w:p>
      <w:pPr>
        <w:pStyle w:val="Nvel02"/>
        <w:numPr>
          <w:ilvl w:val="1"/>
          <w:numId w:val="3"/>
        </w:numPr>
        <w:ind w:left="0" w:right="0" w:hanging="0"/>
        <w:rPr>
          <w:rFonts w:ascii="Calibri Light" w:hAnsi="Calibri Light"/>
        </w:rPr>
      </w:pPr>
      <w:bookmarkStart w:id="14" w:name="_Ref115800561"/>
      <w:r>
        <w:rPr>
          <w:rFonts w:ascii="Calibri Light" w:hAnsi="Calibri Light"/>
          <w:i w:val="false"/>
          <w:iCs w:val="false"/>
          <w:color w:val="000000"/>
          <w:sz w:val="24"/>
          <w:szCs w:val="24"/>
        </w:rPr>
        <w:t>pessoa física: cédula de identidade (RG) ou documento equivalente que, por força de lei, tenha validade para fins de identificação em todo o território nacional;</w:t>
      </w:r>
      <w:bookmarkEnd w:id="14"/>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empresário individual: inscrição no Registro Público de Empresas Mercantis, a cargo da Junta Comercial da respectiva sede;</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Microempreendedor Individual - MEI: Certificado da Condição de Microempreendedor Individual - CCMEI, cuja aceitação ficará condicionada à verificação da autenticidade no sítio https://www.gov.br/empresas-e-negocios/pt-br/empreendedor;</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sociedade simples: inscrição do ato constitutivo no Registro Civil de Pessoas Jurídicas do local de sua sede, acompanhada de documento comprobatório de seus administradores;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5" w:name="_Int_ySfCXwr4"/>
      <w:r>
        <w:rPr>
          <w:rFonts w:ascii="Calibri Light" w:hAnsi="Calibri Light"/>
          <w:i w:val="false"/>
          <w:iCs w:val="false"/>
          <w:color w:val="000000"/>
          <w:sz w:val="24"/>
          <w:szCs w:val="24"/>
        </w:rPr>
        <w:t>Mercantis onde</w:t>
      </w:r>
      <w:bookmarkEnd w:id="15"/>
      <w:r>
        <w:rPr>
          <w:rFonts w:ascii="Calibri Light" w:hAnsi="Calibri Light"/>
          <w:i w:val="false"/>
          <w:iCs w:val="false"/>
          <w:color w:val="000000"/>
          <w:sz w:val="24"/>
          <w:szCs w:val="24"/>
        </w:rPr>
        <w:t xml:space="preserve"> opera, com averbação no Registro onde tem sede a matriz;</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Os documentos apresentados deverão estar acompanhados de todas as alterações ou da consolidação respectiva.</w:t>
      </w:r>
    </w:p>
    <w:p>
      <w:pPr>
        <w:pStyle w:val="Nvel02"/>
        <w:numPr>
          <w:ilvl w:val="1"/>
          <w:numId w:val="3"/>
        </w:numPr>
        <w:ind w:left="0" w:right="0" w:hanging="0"/>
        <w:rPr>
          <w:b/>
          <w:bCs/>
        </w:rPr>
      </w:pPr>
      <w:r>
        <w:rPr>
          <w:rFonts w:ascii="Calibri Light" w:hAnsi="Calibri Light"/>
          <w:b/>
          <w:bCs/>
          <w:i w:val="false"/>
          <w:iCs w:val="false"/>
          <w:color w:val="000000"/>
          <w:sz w:val="24"/>
          <w:szCs w:val="24"/>
        </w:rPr>
        <w:t>a Autorização de Funcionamento (AFE) vigente, emitida pela ANVISA, para os produtos abrangidos pela RDC nº 16, de 1º de abril de 2014, da ANVISA;</w:t>
      </w:r>
    </w:p>
    <w:p>
      <w:pPr>
        <w:pStyle w:val="Nvel02"/>
        <w:numPr>
          <w:ilvl w:val="1"/>
          <w:numId w:val="3"/>
        </w:numPr>
        <w:ind w:left="0" w:right="0" w:hanging="0"/>
        <w:rPr>
          <w:b/>
          <w:bCs/>
        </w:rPr>
      </w:pPr>
      <w:r>
        <w:rPr>
          <w:rFonts w:ascii="Calibri Light" w:hAnsi="Calibri Light"/>
          <w:b/>
          <w:bCs/>
          <w:i w:val="false"/>
          <w:iCs w:val="false"/>
          <w:color w:val="000000"/>
          <w:sz w:val="24"/>
          <w:szCs w:val="24"/>
        </w:rPr>
        <w:t xml:space="preserve"> </w:t>
      </w:r>
      <w:r>
        <w:rPr>
          <w:rFonts w:ascii="Calibri Light" w:hAnsi="Calibri Light"/>
          <w:b/>
          <w:bCs/>
          <w:i w:val="false"/>
          <w:iCs w:val="false"/>
          <w:color w:val="000000"/>
          <w:sz w:val="24"/>
          <w:szCs w:val="24"/>
        </w:rPr>
        <w:t xml:space="preserve">a.2) A Licença Sanitária Estadual ou Municipal vigente (verificar e indicar a legislação estadual ou municipal incidente). </w:t>
      </w:r>
    </w:p>
    <w:p>
      <w:pPr>
        <w:pStyle w:val="Nvel1-SemNumerao"/>
        <w:ind w:left="0" w:right="0" w:hanging="0"/>
        <w:rPr>
          <w:rFonts w:ascii="Calibri Light" w:hAnsi="Calibri Light"/>
        </w:rPr>
      </w:pPr>
      <w:r>
        <w:rPr>
          <w:rFonts w:ascii="Calibri Light" w:hAnsi="Calibri Light"/>
          <w:i w:val="false"/>
          <w:iCs w:val="false"/>
          <w:color w:val="000000"/>
          <w:sz w:val="24"/>
          <w:szCs w:val="24"/>
        </w:rPr>
        <w:t>Habilitação fiscal, social e trabalhista</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Prova de inscrição no Cadastro Nacional de Pessoas Jurídicas ou no Cadastro de Pessoas Físicas, conforme o caso;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Prova de regularidade com o Fundo de Garantia do Tempo de Serviço (FGTS);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Prova de inscrição no cadastro de contribuintes Estadual ou Distrital relativo ao domicílio ou sede do fornecedor, pertinente ao seu ramo de atividade e compatível com o objeto contratual;</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Prova de regularidade com a Fazenda Estadual ou Distrital do domicílio ou sede do fornecedor, relativa à atividade em cujo exercício contrata ou concorre;</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pPr>
        <w:pStyle w:val="Nvel02"/>
        <w:numPr>
          <w:ilvl w:val="1"/>
          <w:numId w:val="3"/>
        </w:numPr>
        <w:ind w:left="0" w:right="0" w:hanging="0"/>
        <w:rPr>
          <w:rFonts w:ascii="Calibri Light" w:hAnsi="Calibri Light"/>
        </w:rPr>
      </w:pPr>
      <w:bookmarkStart w:id="16" w:name="_Hlk121934117"/>
      <w:r>
        <w:rPr>
          <w:rFonts w:ascii="Calibri Light" w:hAnsi="Calibri Light"/>
          <w:i w:val="false"/>
          <w:iCs w:val="false"/>
          <w:color w:val="000000"/>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6"/>
    </w:p>
    <w:p>
      <w:pPr>
        <w:pStyle w:val="Nvel1-SemNumerao"/>
        <w:ind w:left="0" w:right="0" w:hanging="0"/>
        <w:rPr>
          <w:rFonts w:ascii="Calibri Light" w:hAnsi="Calibri Light"/>
        </w:rPr>
      </w:pPr>
      <w:r>
        <w:rPr>
          <w:rFonts w:ascii="Calibri Light" w:hAnsi="Calibri Light"/>
          <w:i w:val="false"/>
          <w:iCs w:val="false"/>
          <w:color w:val="000000"/>
          <w:sz w:val="24"/>
          <w:szCs w:val="24"/>
        </w:rPr>
        <w:t>Qualificação Econômico-Financeira</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certidão negativa de insolvência civil expedida pelo distribuidor do domicílio ou sede do interessado, caso se trate de pessoa física, desde que admitida a sua participação na licitação/contratação, ou de sociedade simples;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certidão negativa de falência expedida pelo distribuidor da sede do fornecedor;</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balanço patrimonial, demonstração de resultado de exercício e demais demonstrações contábei</w:t>
      </w:r>
      <w:r>
        <w:rPr>
          <w:rFonts w:ascii="Calibri Light" w:hAnsi="Calibri Light"/>
          <w:i w:val="false"/>
          <w:iCs w:val="false"/>
          <w:color w:val="000000"/>
          <w:sz w:val="24"/>
          <w:szCs w:val="24"/>
          <w:shd w:fill="FFFFFF" w:val="clear"/>
        </w:rPr>
        <w:t xml:space="preserve">s do último exercício social, já exigíveis e apresentados na forma da lei, comprovando, índices de Liquidez Geral (LG), Liquidez Corrente (LC), e Solvência Geral (SG) superiores a 1 (um), obtidos por meio da aplicação das seguintes fórmulas: </w:t>
      </w:r>
    </w:p>
    <w:tbl>
      <w:tblPr>
        <w:tblW w:w="6487" w:type="dxa"/>
        <w:jc w:val="left"/>
        <w:tblInd w:w="1242" w:type="dxa"/>
        <w:tblLayout w:type="fixed"/>
        <w:tblCellMar>
          <w:top w:w="0" w:type="dxa"/>
          <w:left w:w="108" w:type="dxa"/>
          <w:bottom w:w="0" w:type="dxa"/>
          <w:right w:w="108" w:type="dxa"/>
        </w:tblCellMar>
      </w:tblPr>
      <w:tblGrid>
        <w:gridCol w:w="2234"/>
        <w:gridCol w:w="4252"/>
      </w:tblGrid>
      <w:tr>
        <w:trPr/>
        <w:tc>
          <w:tcPr>
            <w:tcW w:w="2234" w:type="dxa"/>
            <w:vMerge w:val="restart"/>
            <w:tcBorders/>
            <w:vAlign w:val="center"/>
          </w:tcPr>
          <w:p>
            <w:pPr>
              <w:pStyle w:val="Nvel02"/>
              <w:widowControl w:val="false"/>
              <w:numPr>
                <w:ilvl w:val="0"/>
                <w:numId w:val="0"/>
              </w:numPr>
              <w:spacing w:before="120" w:after="120"/>
              <w:ind w:left="0" w:right="0" w:hanging="0"/>
              <w:rPr>
                <w:rFonts w:ascii="Calibri Light" w:hAnsi="Calibri Light"/>
              </w:rPr>
            </w:pPr>
            <w:r>
              <w:rPr>
                <w:rFonts w:ascii="Calibri Light" w:hAnsi="Calibri Light"/>
                <w:i w:val="false"/>
                <w:iCs w:val="false"/>
                <w:color w:val="000000"/>
                <w:kern w:val="0"/>
                <w:sz w:val="24"/>
                <w:szCs w:val="24"/>
                <w:shd w:fill="FFFFFF" w:val="clear"/>
                <w:lang w:val="pt-BR" w:bidi="ar-SA"/>
              </w:rPr>
              <w:t>LG =</w:t>
            </w:r>
          </w:p>
        </w:tc>
        <w:tc>
          <w:tcPr>
            <w:tcW w:w="4252" w:type="dxa"/>
            <w:tcBorders>
              <w:bottom w:val="single" w:sz="4" w:space="0" w:color="000000"/>
            </w:tcBorders>
            <w:vAlign w:val="bottom"/>
          </w:tcPr>
          <w:p>
            <w:pPr>
              <w:pStyle w:val="Nvel02"/>
              <w:widowControl w:val="false"/>
              <w:numPr>
                <w:ilvl w:val="0"/>
                <w:numId w:val="0"/>
              </w:numPr>
              <w:spacing w:before="120" w:after="120"/>
              <w:ind w:left="0" w:right="0" w:hanging="0"/>
              <w:rPr>
                <w:rFonts w:ascii="Calibri Light" w:hAnsi="Calibri Light"/>
              </w:rPr>
            </w:pPr>
            <w:r>
              <w:rPr>
                <w:rFonts w:ascii="Calibri Light" w:hAnsi="Calibri Light"/>
                <w:i w:val="false"/>
                <w:iCs w:val="false"/>
                <w:color w:val="000000"/>
                <w:kern w:val="0"/>
                <w:sz w:val="24"/>
                <w:szCs w:val="24"/>
                <w:shd w:fill="FFFFFF" w:val="clear"/>
                <w:lang w:val="pt-BR" w:bidi="ar-SA"/>
              </w:rPr>
              <w:t>Ativo Circulante + Realizável a Longo Prazo</w:t>
            </w:r>
          </w:p>
        </w:tc>
      </w:tr>
      <w:tr>
        <w:trPr/>
        <w:tc>
          <w:tcPr>
            <w:tcW w:w="2234" w:type="dxa"/>
            <w:vMerge w:val="continue"/>
            <w:tcBorders/>
          </w:tcPr>
          <w:p>
            <w:pPr>
              <w:pStyle w:val="Normal"/>
              <w:widowControl w:val="false"/>
              <w:rPr>
                <w:rFonts w:ascii="Calibri Light" w:hAnsi="Calibri Light"/>
                <w:i w:val="false"/>
                <w:i w:val="false"/>
                <w:iCs w:val="false"/>
                <w:color w:val="000000"/>
                <w:sz w:val="24"/>
                <w:szCs w:val="24"/>
                <w:highlight w:val="none"/>
                <w:shd w:fill="FFFFFF" w:val="clear"/>
              </w:rPr>
            </w:pPr>
            <w:r>
              <w:rPr>
                <w:rFonts w:ascii="Calibri Light" w:hAnsi="Calibri Light"/>
                <w:i w:val="false"/>
                <w:iCs w:val="false"/>
                <w:color w:val="000000"/>
                <w:sz w:val="24"/>
                <w:szCs w:val="24"/>
                <w:shd w:fill="FFFFFF" w:val="clear"/>
              </w:rPr>
            </w:r>
          </w:p>
        </w:tc>
        <w:tc>
          <w:tcPr>
            <w:tcW w:w="4252" w:type="dxa"/>
            <w:tcBorders>
              <w:top w:val="single" w:sz="4" w:space="0" w:color="000000"/>
            </w:tcBorders>
          </w:tcPr>
          <w:p>
            <w:pPr>
              <w:pStyle w:val="Nvel02"/>
              <w:widowControl w:val="false"/>
              <w:numPr>
                <w:ilvl w:val="0"/>
                <w:numId w:val="0"/>
              </w:numPr>
              <w:spacing w:before="120" w:after="120"/>
              <w:ind w:left="0" w:right="0" w:hanging="0"/>
              <w:rPr>
                <w:rFonts w:ascii="Calibri Light" w:hAnsi="Calibri Light"/>
              </w:rPr>
            </w:pPr>
            <w:r>
              <w:rPr>
                <w:rFonts w:ascii="Calibri Light" w:hAnsi="Calibri Light"/>
                <w:i w:val="false"/>
                <w:iCs w:val="false"/>
                <w:color w:val="000000"/>
                <w:kern w:val="0"/>
                <w:sz w:val="24"/>
                <w:szCs w:val="24"/>
                <w:shd w:fill="FFFFFF" w:val="clear"/>
                <w:lang w:val="pt-BR" w:bidi="ar-SA"/>
              </w:rPr>
              <w:t>Passivo Circulante + Passivo Não Circulante</w:t>
            </w:r>
          </w:p>
        </w:tc>
      </w:tr>
    </w:tbl>
    <w:p>
      <w:pPr>
        <w:pStyle w:val="Nvel02"/>
        <w:numPr>
          <w:ilvl w:val="0"/>
          <w:numId w:val="0"/>
        </w:numPr>
        <w:ind w:left="0" w:right="0" w:hanging="0"/>
        <w:rPr>
          <w:rFonts w:ascii="Calibri Light" w:hAnsi="Calibri Light"/>
          <w:i w:val="false"/>
          <w:i w:val="false"/>
          <w:iCs w:val="false"/>
          <w:color w:val="000000"/>
          <w:sz w:val="24"/>
          <w:szCs w:val="24"/>
          <w:highlight w:val="none"/>
          <w:shd w:fill="FFFFFF" w:val="clear"/>
        </w:rPr>
      </w:pPr>
      <w:r>
        <w:rPr>
          <w:rFonts w:ascii="Calibri Light" w:hAnsi="Calibri Light"/>
          <w:i w:val="false"/>
          <w:iCs w:val="false"/>
          <w:color w:val="000000"/>
          <w:sz w:val="24"/>
          <w:szCs w:val="24"/>
          <w:shd w:fill="FFFFFF" w:val="clear"/>
        </w:rPr>
      </w:r>
    </w:p>
    <w:tbl>
      <w:tblPr>
        <w:tblW w:w="6629" w:type="dxa"/>
        <w:jc w:val="left"/>
        <w:tblInd w:w="1242" w:type="dxa"/>
        <w:tblLayout w:type="fixed"/>
        <w:tblCellMar>
          <w:top w:w="0" w:type="dxa"/>
          <w:left w:w="108" w:type="dxa"/>
          <w:bottom w:w="0" w:type="dxa"/>
          <w:right w:w="108" w:type="dxa"/>
        </w:tblCellMar>
      </w:tblPr>
      <w:tblGrid>
        <w:gridCol w:w="2235"/>
        <w:gridCol w:w="4393"/>
      </w:tblGrid>
      <w:tr>
        <w:trPr>
          <w:cantSplit w:val="true"/>
        </w:trPr>
        <w:tc>
          <w:tcPr>
            <w:tcW w:w="2235" w:type="dxa"/>
            <w:vMerge w:val="restart"/>
            <w:tcBorders/>
            <w:vAlign w:val="center"/>
          </w:tcPr>
          <w:p>
            <w:pPr>
              <w:pStyle w:val="Nvel02"/>
              <w:widowControl w:val="false"/>
              <w:numPr>
                <w:ilvl w:val="0"/>
                <w:numId w:val="0"/>
              </w:numPr>
              <w:spacing w:before="120" w:after="120"/>
              <w:ind w:left="0" w:right="0" w:hanging="0"/>
              <w:rPr>
                <w:rFonts w:ascii="Calibri Light" w:hAnsi="Calibri Light"/>
              </w:rPr>
            </w:pPr>
            <w:r>
              <w:rPr>
                <w:rFonts w:ascii="Calibri Light" w:hAnsi="Calibri Light"/>
                <w:i w:val="false"/>
                <w:iCs w:val="false"/>
                <w:color w:val="000000"/>
                <w:kern w:val="0"/>
                <w:sz w:val="24"/>
                <w:szCs w:val="24"/>
                <w:shd w:fill="FFFFFF" w:val="clear"/>
                <w:lang w:val="pt-BR" w:bidi="ar-SA"/>
              </w:rPr>
              <w:t>SG =</w:t>
            </w:r>
          </w:p>
        </w:tc>
        <w:tc>
          <w:tcPr>
            <w:tcW w:w="4393" w:type="dxa"/>
            <w:tcBorders>
              <w:bottom w:val="single" w:sz="4" w:space="0" w:color="000000"/>
            </w:tcBorders>
            <w:vAlign w:val="bottom"/>
          </w:tcPr>
          <w:p>
            <w:pPr>
              <w:pStyle w:val="Nvel02"/>
              <w:widowControl w:val="false"/>
              <w:numPr>
                <w:ilvl w:val="0"/>
                <w:numId w:val="0"/>
              </w:numPr>
              <w:spacing w:before="120" w:after="120"/>
              <w:ind w:left="0" w:right="0" w:hanging="0"/>
              <w:rPr>
                <w:rFonts w:ascii="Calibri Light" w:hAnsi="Calibri Light"/>
              </w:rPr>
            </w:pPr>
            <w:r>
              <w:rPr>
                <w:rFonts w:ascii="Calibri Light" w:hAnsi="Calibri Light"/>
                <w:i w:val="false"/>
                <w:iCs w:val="false"/>
                <w:color w:val="000000"/>
                <w:kern w:val="0"/>
                <w:sz w:val="24"/>
                <w:szCs w:val="24"/>
                <w:shd w:fill="FFFFFF" w:val="clear"/>
                <w:lang w:val="pt-BR" w:bidi="ar-SA"/>
              </w:rPr>
              <w:t>Ativo Total</w:t>
            </w:r>
          </w:p>
        </w:tc>
      </w:tr>
      <w:tr>
        <w:trPr>
          <w:cantSplit w:val="true"/>
        </w:trPr>
        <w:tc>
          <w:tcPr>
            <w:tcW w:w="2235" w:type="dxa"/>
            <w:vMerge w:val="continue"/>
            <w:tcBorders/>
          </w:tcPr>
          <w:p>
            <w:pPr>
              <w:pStyle w:val="Normal"/>
              <w:widowControl w:val="false"/>
              <w:rPr>
                <w:rFonts w:ascii="Calibri Light" w:hAnsi="Calibri Light"/>
                <w:i w:val="false"/>
                <w:i w:val="false"/>
                <w:iCs w:val="false"/>
                <w:color w:val="000000"/>
                <w:sz w:val="24"/>
                <w:szCs w:val="24"/>
                <w:highlight w:val="none"/>
                <w:shd w:fill="FFFFFF" w:val="clear"/>
              </w:rPr>
            </w:pPr>
            <w:r>
              <w:rPr>
                <w:rFonts w:ascii="Calibri Light" w:hAnsi="Calibri Light"/>
                <w:i w:val="false"/>
                <w:iCs w:val="false"/>
                <w:color w:val="000000"/>
                <w:sz w:val="24"/>
                <w:szCs w:val="24"/>
                <w:shd w:fill="FFFFFF" w:val="clear"/>
              </w:rPr>
            </w:r>
          </w:p>
        </w:tc>
        <w:tc>
          <w:tcPr>
            <w:tcW w:w="4393" w:type="dxa"/>
            <w:tcBorders>
              <w:top w:val="single" w:sz="4" w:space="0" w:color="000000"/>
            </w:tcBorders>
          </w:tcPr>
          <w:p>
            <w:pPr>
              <w:pStyle w:val="Nvel02"/>
              <w:widowControl w:val="false"/>
              <w:numPr>
                <w:ilvl w:val="0"/>
                <w:numId w:val="0"/>
              </w:numPr>
              <w:spacing w:before="120" w:after="120"/>
              <w:ind w:left="0" w:right="0" w:hanging="0"/>
              <w:rPr>
                <w:rFonts w:ascii="Calibri Light" w:hAnsi="Calibri Light"/>
              </w:rPr>
            </w:pPr>
            <w:r>
              <w:rPr>
                <w:rFonts w:ascii="Calibri Light" w:hAnsi="Calibri Light"/>
                <w:i w:val="false"/>
                <w:iCs w:val="false"/>
                <w:color w:val="000000"/>
                <w:kern w:val="0"/>
                <w:sz w:val="24"/>
                <w:szCs w:val="24"/>
                <w:shd w:fill="FFFFFF" w:val="clear"/>
                <w:lang w:val="pt-BR" w:bidi="ar-SA"/>
              </w:rPr>
              <w:t>Passivo Circulante + Passivo Não Circulante</w:t>
            </w:r>
          </w:p>
        </w:tc>
      </w:tr>
    </w:tbl>
    <w:p>
      <w:pPr>
        <w:pStyle w:val="Nvel02"/>
        <w:numPr>
          <w:ilvl w:val="0"/>
          <w:numId w:val="0"/>
        </w:numPr>
        <w:ind w:left="0" w:right="0" w:hanging="0"/>
        <w:rPr>
          <w:rFonts w:ascii="Calibri Light" w:hAnsi="Calibri Light"/>
          <w:i w:val="false"/>
          <w:i w:val="false"/>
          <w:iCs w:val="false"/>
          <w:color w:val="000000"/>
          <w:sz w:val="24"/>
          <w:szCs w:val="24"/>
          <w:highlight w:val="none"/>
          <w:shd w:fill="FFFFFF" w:val="clear"/>
        </w:rPr>
      </w:pPr>
      <w:r>
        <w:rPr>
          <w:rFonts w:ascii="Calibri Light" w:hAnsi="Calibri Light"/>
          <w:i w:val="false"/>
          <w:iCs w:val="false"/>
          <w:color w:val="000000"/>
          <w:sz w:val="24"/>
          <w:szCs w:val="24"/>
          <w:shd w:fill="FFFFFF" w:val="clear"/>
        </w:rPr>
      </w:r>
    </w:p>
    <w:tbl>
      <w:tblPr>
        <w:tblW w:w="4786" w:type="dxa"/>
        <w:jc w:val="left"/>
        <w:tblInd w:w="1242" w:type="dxa"/>
        <w:tblLayout w:type="fixed"/>
        <w:tblCellMar>
          <w:top w:w="0" w:type="dxa"/>
          <w:left w:w="108" w:type="dxa"/>
          <w:bottom w:w="0" w:type="dxa"/>
          <w:right w:w="108" w:type="dxa"/>
        </w:tblCellMar>
      </w:tblPr>
      <w:tblGrid>
        <w:gridCol w:w="2235"/>
        <w:gridCol w:w="2550"/>
      </w:tblGrid>
      <w:tr>
        <w:trPr/>
        <w:tc>
          <w:tcPr>
            <w:tcW w:w="2235" w:type="dxa"/>
            <w:vMerge w:val="restart"/>
            <w:tcBorders/>
            <w:vAlign w:val="center"/>
          </w:tcPr>
          <w:p>
            <w:pPr>
              <w:pStyle w:val="Nvel02"/>
              <w:widowControl w:val="false"/>
              <w:numPr>
                <w:ilvl w:val="0"/>
                <w:numId w:val="0"/>
              </w:numPr>
              <w:spacing w:before="120" w:after="120"/>
              <w:ind w:left="0" w:right="0" w:hanging="0"/>
              <w:rPr>
                <w:rFonts w:ascii="Calibri Light" w:hAnsi="Calibri Light"/>
              </w:rPr>
            </w:pPr>
            <w:r>
              <w:rPr>
                <w:rFonts w:ascii="Calibri Light" w:hAnsi="Calibri Light"/>
                <w:i w:val="false"/>
                <w:iCs w:val="false"/>
                <w:color w:val="000000"/>
                <w:kern w:val="0"/>
                <w:sz w:val="24"/>
                <w:szCs w:val="24"/>
                <w:shd w:fill="FFFFFF" w:val="clear"/>
                <w:lang w:val="pt-BR" w:bidi="ar-SA"/>
              </w:rPr>
              <w:t>LC =</w:t>
            </w:r>
          </w:p>
        </w:tc>
        <w:tc>
          <w:tcPr>
            <w:tcW w:w="2550" w:type="dxa"/>
            <w:tcBorders>
              <w:bottom w:val="single" w:sz="4" w:space="0" w:color="000000"/>
            </w:tcBorders>
            <w:vAlign w:val="bottom"/>
          </w:tcPr>
          <w:p>
            <w:pPr>
              <w:pStyle w:val="Nvel02"/>
              <w:widowControl w:val="false"/>
              <w:numPr>
                <w:ilvl w:val="0"/>
                <w:numId w:val="0"/>
              </w:numPr>
              <w:spacing w:before="120" w:after="120"/>
              <w:ind w:left="0" w:right="0" w:hanging="0"/>
              <w:rPr>
                <w:rFonts w:ascii="Calibri Light" w:hAnsi="Calibri Light"/>
              </w:rPr>
            </w:pPr>
            <w:r>
              <w:rPr>
                <w:rFonts w:ascii="Calibri Light" w:hAnsi="Calibri Light"/>
                <w:i w:val="false"/>
                <w:iCs w:val="false"/>
                <w:color w:val="000000"/>
                <w:kern w:val="0"/>
                <w:sz w:val="24"/>
                <w:szCs w:val="24"/>
                <w:shd w:fill="FFFFFF" w:val="clear"/>
                <w:lang w:val="pt-BR" w:bidi="ar-SA"/>
              </w:rPr>
              <w:t>Ativo Circulante</w:t>
            </w:r>
          </w:p>
        </w:tc>
      </w:tr>
      <w:tr>
        <w:trPr/>
        <w:tc>
          <w:tcPr>
            <w:tcW w:w="2235" w:type="dxa"/>
            <w:vMerge w:val="continue"/>
            <w:tcBorders/>
          </w:tcPr>
          <w:p>
            <w:pPr>
              <w:pStyle w:val="Normal"/>
              <w:widowControl w:val="false"/>
              <w:rPr>
                <w:rFonts w:ascii="Calibri Light" w:hAnsi="Calibri Light"/>
                <w:i w:val="false"/>
                <w:i w:val="false"/>
                <w:iCs w:val="false"/>
                <w:color w:val="000000"/>
                <w:sz w:val="24"/>
                <w:szCs w:val="24"/>
                <w:highlight w:val="none"/>
                <w:shd w:fill="FFFFFF" w:val="clear"/>
              </w:rPr>
            </w:pPr>
            <w:r>
              <w:rPr>
                <w:rFonts w:ascii="Calibri Light" w:hAnsi="Calibri Light"/>
                <w:i w:val="false"/>
                <w:iCs w:val="false"/>
                <w:color w:val="000000"/>
                <w:sz w:val="24"/>
                <w:szCs w:val="24"/>
                <w:shd w:fill="FFFFFF" w:val="clear"/>
              </w:rPr>
            </w:r>
          </w:p>
        </w:tc>
        <w:tc>
          <w:tcPr>
            <w:tcW w:w="2550" w:type="dxa"/>
            <w:tcBorders>
              <w:top w:val="single" w:sz="4" w:space="0" w:color="000000"/>
            </w:tcBorders>
          </w:tcPr>
          <w:p>
            <w:pPr>
              <w:pStyle w:val="Nvel02"/>
              <w:widowControl w:val="false"/>
              <w:numPr>
                <w:ilvl w:val="0"/>
                <w:numId w:val="0"/>
              </w:numPr>
              <w:spacing w:before="120" w:after="120"/>
              <w:ind w:left="0" w:right="0" w:hanging="0"/>
              <w:rPr>
                <w:rFonts w:ascii="Calibri Light" w:hAnsi="Calibri Light"/>
              </w:rPr>
            </w:pPr>
            <w:r>
              <w:rPr>
                <w:rFonts w:ascii="Calibri Light" w:hAnsi="Calibri Light"/>
                <w:i w:val="false"/>
                <w:iCs w:val="false"/>
                <w:color w:val="000000"/>
                <w:kern w:val="0"/>
                <w:sz w:val="24"/>
                <w:szCs w:val="24"/>
                <w:shd w:fill="FFFFFF" w:val="clear"/>
                <w:lang w:val="pt-BR" w:bidi="ar-SA"/>
              </w:rPr>
              <w:t>Passivo Circulante</w:t>
            </w:r>
          </w:p>
        </w:tc>
      </w:tr>
    </w:tbl>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shd w:fill="FFFFFF" w:val="clear"/>
        </w:rPr>
        <w:t>Caso a empresa interessada apresente resultado inferior ou igual a 1 (um) em qualquer dos índices de Liquidez Geral (LG), Solvência Geral (SG) e Liquidez Corrente (LC), será exigido para fins de habilitação capital mínimo de 10 % do valor total estimado da contratação.</w:t>
      </w:r>
    </w:p>
    <w:p>
      <w:pPr>
        <w:pStyle w:val="Nvel2-Opcional"/>
        <w:numPr>
          <w:ilvl w:val="1"/>
          <w:numId w:val="3"/>
        </w:numPr>
        <w:ind w:left="1709" w:right="0" w:hanging="432"/>
        <w:rPr>
          <w:rFonts w:ascii="Calibri Light" w:hAnsi="Calibri Light"/>
        </w:rPr>
      </w:pPr>
      <w:bookmarkStart w:id="17" w:name="_Hlk190941246"/>
      <w:r>
        <w:rPr>
          <w:rFonts w:ascii="Calibri Light" w:hAnsi="Calibri Light"/>
          <w:i w:val="false"/>
          <w:iCs w:val="false"/>
          <w:color w:val="000000"/>
          <w:sz w:val="24"/>
          <w:szCs w:val="24"/>
          <w:shd w:fill="FFFFFF" w:val="clear"/>
        </w:rPr>
        <w:t xml:space="preserve">Os indicadores fixados acima deverão ser atingidos em cada um dos dois últimos exercícios sociais, sob pena de inabilitação; </w:t>
      </w:r>
      <w:bookmarkEnd w:id="17"/>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Os documentos referidos acima limitar-se-ão ao último exercício no caso de a pessoa jurídica ter sido constituída há menos de 2 (dois) anos;</w:t>
      </w:r>
    </w:p>
    <w:p>
      <w:pPr>
        <w:pStyle w:val="Nvel02"/>
        <w:numPr>
          <w:ilvl w:val="1"/>
          <w:numId w:val="3"/>
        </w:numPr>
        <w:ind w:left="0" w:right="0" w:hanging="0"/>
        <w:rPr>
          <w:rFonts w:ascii="Calibri Light" w:hAnsi="Calibri Light"/>
        </w:rPr>
      </w:pPr>
      <w:bookmarkStart w:id="18" w:name="_Hlk170895502"/>
      <w:r>
        <w:rPr>
          <w:rFonts w:ascii="Calibri Light" w:hAnsi="Calibri Light"/>
          <w:i w:val="false"/>
          <w:iCs w:val="false"/>
          <w:color w:val="000000"/>
          <w:sz w:val="24"/>
          <w:szCs w:val="24"/>
        </w:rPr>
        <w:t>Os documentos referidos acima deverão ser exigidos com base no limite definido pela Receita Federal do Brasil para transmissão da Escrituração Contábil Digital - ECD ao Sped.</w:t>
      </w:r>
      <w:bookmarkEnd w:id="18"/>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As empresas criadas no exercício financeiro da licitação/contratação deverão atender a todas as exigências da habilitação e poderão substituir os demonstrativos contábeis pelo balanço de abertura.</w:t>
      </w:r>
    </w:p>
    <w:p>
      <w:pPr>
        <w:pStyle w:val="Nvel1-SemNumerao"/>
        <w:ind w:left="0" w:right="0" w:hanging="0"/>
        <w:rPr>
          <w:rFonts w:ascii="Calibri Light" w:hAnsi="Calibri Light"/>
        </w:rPr>
      </w:pPr>
      <w:r>
        <w:rPr>
          <w:rFonts w:ascii="Calibri Light" w:hAnsi="Calibri Light"/>
          <w:i w:val="false"/>
          <w:iCs w:val="false"/>
          <w:color w:val="000000"/>
          <w:sz w:val="24"/>
          <w:szCs w:val="24"/>
        </w:rPr>
        <w:t>Qualificação Técnica</w:t>
      </w:r>
      <w:bookmarkStart w:id="19" w:name="_Hlk171010459"/>
    </w:p>
    <w:p>
      <w:pPr>
        <w:pStyle w:val="Nvel2-Opcional"/>
        <w:numPr>
          <w:ilvl w:val="1"/>
          <w:numId w:val="3"/>
        </w:numPr>
        <w:ind w:left="1709" w:right="0" w:hanging="432"/>
        <w:rPr>
          <w:rFonts w:ascii="Calibri Light" w:hAnsi="Calibri Light"/>
        </w:rPr>
      </w:pPr>
      <w:bookmarkEnd w:id="19"/>
      <w:r>
        <w:rPr>
          <w:rFonts w:ascii="Calibri Light" w:hAnsi="Calibri Light"/>
          <w:i w:val="false"/>
          <w:iCs w:val="false"/>
          <w:color w:val="000000"/>
          <w:sz w:val="24"/>
          <w:szCs w:val="24"/>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pPr>
        <w:pStyle w:val="Nvel3-Opcional"/>
        <w:numPr>
          <w:ilvl w:val="2"/>
          <w:numId w:val="146"/>
        </w:numPr>
        <w:ind w:left="284" w:right="0" w:hanging="0"/>
        <w:rPr>
          <w:rFonts w:ascii="Calibri Light" w:hAnsi="Calibri Light"/>
        </w:rPr>
      </w:pPr>
      <w:r>
        <w:rPr>
          <w:rFonts w:ascii="Calibri Light" w:hAnsi="Calibri Light"/>
          <w:i w:val="false"/>
          <w:iCs w:val="false"/>
          <w:color w:val="000000"/>
          <w:sz w:val="24"/>
          <w:szCs w:val="24"/>
        </w:rPr>
        <w:t>Serão admitidos, para fins de comprovação de quantitativo mínimo exigido, a apresentação e o somatório de diferentes atestados relativos a contratos executados de forma concomitante.</w:t>
      </w:r>
    </w:p>
    <w:p>
      <w:pPr>
        <w:pStyle w:val="Nvel3-Opcional"/>
        <w:numPr>
          <w:ilvl w:val="2"/>
          <w:numId w:val="147"/>
        </w:numPr>
        <w:ind w:left="284" w:right="0" w:hanging="0"/>
        <w:rPr>
          <w:rFonts w:ascii="Calibri Light" w:hAnsi="Calibri Light"/>
        </w:rPr>
      </w:pPr>
      <w:r>
        <w:rPr>
          <w:rFonts w:ascii="Calibri Light" w:hAnsi="Calibri Light"/>
          <w:b/>
          <w:bCs/>
          <w:i w:val="false"/>
          <w:iCs w:val="false"/>
          <w:color w:val="000000"/>
          <w:sz w:val="24"/>
          <w:szCs w:val="24"/>
        </w:rPr>
        <w:t>Os atestados de capacidade técnica poderão ser apresentados em nome da matriz ou da filial do fornecedor, também será considerado o cadastramento no nível V do SICAF</w:t>
      </w:r>
      <w:r>
        <w:rPr>
          <w:rFonts w:ascii="Calibri Light" w:hAnsi="Calibri Light"/>
          <w:i w:val="false"/>
          <w:iCs w:val="false"/>
          <w:color w:val="000000"/>
          <w:sz w:val="24"/>
          <w:szCs w:val="24"/>
        </w:rPr>
        <w:t>;</w:t>
      </w:r>
    </w:p>
    <w:p>
      <w:pPr>
        <w:pStyle w:val="Nvel3-Opcional"/>
        <w:numPr>
          <w:ilvl w:val="2"/>
          <w:numId w:val="148"/>
        </w:numPr>
        <w:ind w:left="284" w:right="0" w:hanging="0"/>
        <w:rPr>
          <w:rFonts w:ascii="Calibri Light" w:hAnsi="Calibri Light"/>
        </w:rPr>
      </w:pPr>
      <w:bookmarkStart w:id="20" w:name="_Hlk171013756"/>
      <w:r>
        <w:rPr>
          <w:rFonts w:ascii="Calibri Light" w:hAnsi="Calibri Light"/>
          <w:i w:val="false"/>
          <w:iCs w:val="false"/>
          <w:color w:val="000000"/>
          <w:sz w:val="24"/>
          <w:szCs w:val="24"/>
        </w:rPr>
        <w:t>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bookmarkEnd w:id="20"/>
    </w:p>
    <w:p>
      <w:pPr>
        <w:pStyle w:val="Nvel3-Opcional"/>
        <w:numPr>
          <w:ilvl w:val="2"/>
          <w:numId w:val="149"/>
        </w:numPr>
        <w:ind w:left="284" w:right="0" w:hanging="0"/>
        <w:rPr>
          <w:b/>
          <w:bCs/>
        </w:rPr>
      </w:pPr>
      <w:r>
        <w:rPr>
          <w:rFonts w:ascii="Calibri Light" w:hAnsi="Calibri Light"/>
          <w:b/>
          <w:bCs/>
          <w:i w:val="false"/>
          <w:iCs w:val="false"/>
          <w:color w:val="000000"/>
          <w:sz w:val="24"/>
          <w:szCs w:val="24"/>
        </w:rPr>
        <w:t xml:space="preserve">A contratada deverá apresentar a Declaração do Detentor de Registro (DDR), na forma da RDC 81, de 5 de novembro de 2018 e RDC 103, de 31 de agosto de 2016, quando for o caso de importação de medicamento feita por um terceiro e não pelo detentor do registro do medicamento na Anvisa. b) a Autorização de Funcionamento (AE) vigente, emitida pela ANVISA, para os produtos abrangidos pelo art. 3º da RDC nº 16, de 1º de abril de 2014, da ANVISA; OBS: É possível realizar consulta à situação da AFE ou AE das empresas no portal eletrônico da ANVISA: https://consultas.anvisa.gov.br/#/. </w:t>
      </w:r>
    </w:p>
    <w:p>
      <w:pPr>
        <w:pStyle w:val="Nvel1-SemNumerao"/>
        <w:ind w:left="0" w:right="0" w:hanging="0"/>
        <w:rPr>
          <w:rFonts w:ascii="Calibri Light" w:hAnsi="Calibri Light"/>
        </w:rPr>
      </w:pPr>
      <w:r>
        <w:rPr>
          <w:rFonts w:ascii="Calibri Light" w:hAnsi="Calibri Light"/>
          <w:i w:val="false"/>
          <w:iCs w:val="false"/>
          <w:color w:val="000000"/>
          <w:sz w:val="24"/>
          <w:szCs w:val="24"/>
        </w:rPr>
        <w:t>Disposições gerais sobre habilitação</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Quando permitida a participação de empresas estrangeiras que não funcionem no País, as exigências de habilitação serão atendidas mediante documentos equivalentes, inicialmente apresentados em tradução livre.</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Não serão aceitos documentos de habilitação com indicação de CNPJ/CPF diferentes, salvo aqueles legalmente permitidos.</w:t>
      </w:r>
    </w:p>
    <w:p>
      <w:pPr>
        <w:pStyle w:val="Nvel02"/>
        <w:numPr>
          <w:ilvl w:val="1"/>
          <w:numId w:val="3"/>
        </w:numPr>
        <w:ind w:left="0" w:right="0" w:hanging="0"/>
        <w:rPr>
          <w:rFonts w:ascii="Calibri Light" w:hAnsi="Calibri Light"/>
        </w:rPr>
      </w:pPr>
      <w:r>
        <w:rPr>
          <w:rFonts w:ascii="Calibri Light" w:hAnsi="Calibri Light"/>
          <w:i w:val="false"/>
          <w:iCs w:val="false"/>
          <w:color w:val="000000"/>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vel02"/>
        <w:numPr>
          <w:ilvl w:val="1"/>
          <w:numId w:val="3"/>
        </w:numPr>
        <w:ind w:left="0" w:right="0" w:hanging="0"/>
        <w:rPr>
          <w:rFonts w:ascii="Calibri Light" w:hAnsi="Calibri Light"/>
        </w:rPr>
      </w:pPr>
      <w:bookmarkStart w:id="21" w:name="_Hlk82473550"/>
      <w:r>
        <w:rPr>
          <w:rFonts w:ascii="Calibri Light" w:hAnsi="Calibri Light"/>
          <w:i w:val="false"/>
          <w:iCs w:val="false"/>
          <w:color w:val="000000"/>
          <w:sz w:val="24"/>
          <w:szCs w:val="24"/>
        </w:rPr>
        <w:t>Serão aceitos registros de CNPJ de fornecedor matriz e filial com diferenças de números de documentos pertinentes ao CND e ao CRF/FGTS, quando for comprovada a centralização do recolhimento dessas contribuições.</w:t>
      </w:r>
      <w:bookmarkEnd w:id="21"/>
    </w:p>
    <w:p>
      <w:pPr>
        <w:pStyle w:val="Nivel01"/>
        <w:numPr>
          <w:ilvl w:val="0"/>
          <w:numId w:val="3"/>
        </w:numPr>
        <w:ind w:left="357" w:right="0" w:hanging="357"/>
        <w:rPr>
          <w:rFonts w:ascii="Calibri Light" w:hAnsi="Calibri Light"/>
        </w:rPr>
      </w:pPr>
      <w:r>
        <w:rPr>
          <w:rFonts w:ascii="Calibri Light" w:hAnsi="Calibri Light"/>
          <w:i w:val="false"/>
          <w:iCs w:val="false"/>
          <w:color w:val="000000"/>
          <w:sz w:val="24"/>
          <w:szCs w:val="24"/>
        </w:rPr>
        <w:t>ESTIMATIVAS DO VALOR DA CONTRATAÇÃO</w:t>
      </w:r>
    </w:p>
    <w:p>
      <w:pPr>
        <w:pStyle w:val="Nvel2-Opcional"/>
        <w:numPr>
          <w:ilvl w:val="1"/>
          <w:numId w:val="3"/>
        </w:numPr>
        <w:ind w:left="1709" w:right="0" w:hanging="432"/>
        <w:rPr>
          <w:rFonts w:ascii="Calibri Light" w:hAnsi="Calibri Light"/>
        </w:rPr>
      </w:pPr>
      <w:r>
        <w:rPr>
          <w:rFonts w:ascii="Calibri Light" w:hAnsi="Calibri Light"/>
          <w:i w:val="false"/>
          <w:iCs w:val="false"/>
          <w:color w:val="000000"/>
          <w:sz w:val="24"/>
          <w:szCs w:val="24"/>
        </w:rPr>
        <w:t xml:space="preserve">O custo estimado total da contratação, que corresponde ao valor máximo aceitável, é de </w:t>
      </w:r>
      <w:r>
        <w:rPr>
          <w:rFonts w:ascii="Calibri Light" w:hAnsi="Calibri Light"/>
          <w:b/>
          <w:bCs/>
          <w:i w:val="false"/>
          <w:iCs w:val="false"/>
          <w:color w:val="000000"/>
          <w:sz w:val="22"/>
          <w:szCs w:val="22"/>
        </w:rPr>
        <w:t>R$ 206.320,67</w:t>
      </w:r>
      <w:r>
        <w:rPr>
          <w:rFonts w:ascii="Calibri Light" w:hAnsi="Calibri Light"/>
          <w:i w:val="false"/>
          <w:iCs w:val="false"/>
          <w:color w:val="000000"/>
          <w:sz w:val="24"/>
          <w:szCs w:val="24"/>
        </w:rPr>
        <w:t xml:space="preserve"> ( duzentos e seis mil, trezentos e vinte reais com sessenta e sete centavos ), conforme custos unitários apostos na </w:t>
      </w:r>
      <w:r>
        <w:rPr>
          <w:rFonts w:ascii="Calibri Light" w:hAnsi="Calibri Light"/>
          <w:b/>
          <w:bCs/>
          <w:i w:val="false"/>
          <w:iCs w:val="false"/>
          <w:color w:val="000000"/>
          <w:sz w:val="24"/>
          <w:szCs w:val="24"/>
        </w:rPr>
        <w:t xml:space="preserve">tabela contida no item </w:t>
      </w:r>
      <w:r>
        <w:rPr>
          <w:rFonts w:ascii="Calibri Light" w:hAnsi="Calibri Light"/>
          <w:b/>
          <w:bCs/>
          <w:i w:val="false"/>
          <w:iCs w:val="false"/>
          <w:color w:val="000000"/>
          <w:sz w:val="24"/>
          <w:szCs w:val="24"/>
        </w:rPr>
        <w:fldChar w:fldCharType="begin"/>
      </w:r>
      <w:r>
        <w:rPr>
          <w:sz w:val="24"/>
          <w:i w:val="false"/>
          <w:b/>
          <w:szCs w:val="24"/>
          <w:iCs w:val="false"/>
          <w:bCs/>
          <w:rFonts w:ascii="Calibri Light" w:hAnsi="Calibri Light"/>
          <w:color w:val="000000"/>
        </w:rPr>
        <w:instrText xml:space="preserve"> REF _Ref172096041 \r \h </w:instrText>
      </w:r>
      <w:r>
        <w:rPr>
          <w:sz w:val="24"/>
          <w:i w:val="false"/>
          <w:b/>
          <w:szCs w:val="24"/>
          <w:iCs w:val="false"/>
          <w:bCs/>
          <w:rFonts w:ascii="Calibri Light" w:hAnsi="Calibri Light"/>
          <w:color w:val="000000"/>
        </w:rPr>
        <w:fldChar w:fldCharType="separate"/>
      </w:r>
      <w:r>
        <w:rPr>
          <w:sz w:val="24"/>
          <w:i w:val="false"/>
          <w:b/>
          <w:szCs w:val="24"/>
          <w:iCs w:val="false"/>
          <w:bCs/>
          <w:rFonts w:ascii="Calibri Light" w:hAnsi="Calibri Light"/>
          <w:color w:val="000000"/>
        </w:rPr>
        <w:t>1.1</w:t>
      </w:r>
      <w:r>
        <w:rPr>
          <w:sz w:val="24"/>
          <w:i w:val="false"/>
          <w:b/>
          <w:szCs w:val="24"/>
          <w:iCs w:val="false"/>
          <w:bCs/>
          <w:rFonts w:ascii="Calibri Light" w:hAnsi="Calibri Light"/>
          <w:color w:val="000000"/>
        </w:rPr>
        <w:fldChar w:fldCharType="end"/>
      </w:r>
      <w:r>
        <w:rPr>
          <w:rFonts w:ascii="Calibri Light" w:hAnsi="Calibri Light"/>
          <w:b/>
          <w:bCs/>
          <w:i w:val="false"/>
          <w:iCs w:val="false"/>
          <w:color w:val="000000"/>
          <w:sz w:val="24"/>
          <w:szCs w:val="24"/>
        </w:rPr>
        <w:t xml:space="preserve"> do termo de referência.</w:t>
      </w:r>
    </w:p>
    <w:p>
      <w:pPr>
        <w:pStyle w:val="Nvel2-Opcional"/>
        <w:numPr>
          <w:ilvl w:val="1"/>
          <w:numId w:val="3"/>
        </w:numPr>
        <w:ind w:left="0" w:right="0" w:hanging="0"/>
        <w:rPr>
          <w:rFonts w:ascii="Calibri Light" w:hAnsi="Calibri Light"/>
          <w:i w:val="false"/>
          <w:i w:val="false"/>
          <w:iCs w:val="false"/>
          <w:color w:val="000000"/>
          <w:sz w:val="24"/>
          <w:szCs w:val="24"/>
        </w:rPr>
      </w:pPr>
      <w:r>
        <w:rPr>
          <w:rFonts w:ascii="Calibri Light" w:hAnsi="Calibri Light"/>
          <w:i w:val="false"/>
          <w:iCs w:val="false"/>
          <w:color w:val="000000"/>
          <w:sz w:val="24"/>
          <w:szCs w:val="24"/>
        </w:rPr>
      </w:r>
    </w:p>
    <w:p>
      <w:pPr>
        <w:pStyle w:val="Nvel2-Opcional"/>
        <w:numPr>
          <w:ilvl w:val="1"/>
          <w:numId w:val="3"/>
        </w:numPr>
        <w:ind w:left="1709" w:right="0" w:hanging="432"/>
        <w:rPr>
          <w:rFonts w:ascii="Calibri Light" w:hAnsi="Calibri Light"/>
        </w:rPr>
      </w:pPr>
      <w:r>
        <w:rPr>
          <w:rFonts w:ascii="Calibri Light" w:hAnsi="Calibri Light"/>
          <w:i w:val="false"/>
          <w:iCs w:val="false"/>
          <w:color w:val="000000"/>
          <w:sz w:val="24"/>
          <w:szCs w:val="24"/>
          <w:shd w:fill="FFFFFF" w:val="clear"/>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pPr>
        <w:pStyle w:val="Nvel3-Opcional"/>
        <w:numPr>
          <w:ilvl w:val="2"/>
          <w:numId w:val="150"/>
        </w:numPr>
        <w:ind w:left="284" w:right="0" w:hanging="0"/>
        <w:rPr>
          <w:rFonts w:ascii="Calibri Light" w:hAnsi="Calibri Light"/>
        </w:rPr>
      </w:pPr>
      <w:r>
        <w:rPr>
          <w:rFonts w:ascii="Calibri Light" w:hAnsi="Calibri Light"/>
          <w:i w:val="false"/>
          <w:iCs w:val="false"/>
          <w:color w:val="000000"/>
          <w:sz w:val="24"/>
          <w:szCs w:val="24"/>
          <w:shd w:fill="FFFFFF" w:val="clear"/>
        </w:rPr>
        <w:t>em caso de força maior, caso fortuito ou fato do príncipe ou em decorrência de fatos imprevisíveis ou previsíveis de consequências incalculáveis, que inviabilizem a execução da ata tal como pactuada, nos termos do disposto na alínea “d” do inciso II do capu</w:t>
      </w:r>
      <w:r>
        <w:rPr>
          <w:rFonts w:ascii="Calibri Light" w:hAnsi="Calibri Light"/>
          <w:b/>
          <w:i w:val="false"/>
          <w:iCs w:val="false"/>
          <w:color w:val="000000"/>
          <w:sz w:val="24"/>
          <w:szCs w:val="24"/>
          <w:shd w:fill="FFFFFF" w:val="clear"/>
        </w:rPr>
        <w:t>t</w:t>
      </w:r>
      <w:r>
        <w:rPr>
          <w:rFonts w:ascii="Calibri Light" w:hAnsi="Calibri Light"/>
          <w:i w:val="false"/>
          <w:iCs w:val="false"/>
          <w:color w:val="000000"/>
          <w:sz w:val="24"/>
          <w:szCs w:val="24"/>
          <w:shd w:fill="FFFFFF" w:val="clear"/>
        </w:rPr>
        <w:t xml:space="preserve"> do art. 124 da Lei nº 14.133, de 2021;</w:t>
      </w:r>
    </w:p>
    <w:p>
      <w:pPr>
        <w:pStyle w:val="Nivel3"/>
        <w:numPr>
          <w:ilvl w:val="2"/>
          <w:numId w:val="151"/>
        </w:numPr>
        <w:ind w:left="284" w:right="0" w:hanging="0"/>
        <w:rPr>
          <w:rFonts w:ascii="Calibri Light" w:hAnsi="Calibri Light"/>
        </w:rPr>
      </w:pPr>
      <w:r>
        <w:rPr>
          <w:rFonts w:ascii="Calibri Light" w:hAnsi="Calibri Light"/>
          <w:i w:val="false"/>
          <w:iCs w:val="false"/>
          <w:color w:val="000000"/>
          <w:sz w:val="24"/>
          <w:szCs w:val="24"/>
          <w:shd w:fill="FFFFFF" w:val="clear"/>
        </w:rPr>
        <w:t>em caso de criação, alteração ou extinção de quaisquer tributos ou encargos legais ou superveniência de disposições legais, com comprovada repercussão sobre os preços registrados;</w:t>
      </w:r>
    </w:p>
    <w:p>
      <w:pPr>
        <w:pStyle w:val="Nivel3"/>
        <w:numPr>
          <w:ilvl w:val="2"/>
          <w:numId w:val="152"/>
        </w:numPr>
        <w:ind w:left="284" w:right="0" w:hanging="0"/>
        <w:rPr>
          <w:rFonts w:ascii="Calibri Light" w:hAnsi="Calibri Light"/>
        </w:rPr>
      </w:pPr>
      <w:r>
        <w:rPr>
          <w:rFonts w:ascii="Calibri Light" w:hAnsi="Calibri Light"/>
          <w:i w:val="false"/>
          <w:iCs w:val="false"/>
          <w:color w:val="000000"/>
          <w:sz w:val="24"/>
          <w:szCs w:val="24"/>
          <w:shd w:fill="FFFFFF" w:val="clear"/>
        </w:rPr>
        <w:t>serão reajustados os preços registrados, respeitada a contagem da anualidade e o índice previsto para a contratação; ou</w:t>
      </w:r>
    </w:p>
    <w:p>
      <w:pPr>
        <w:pStyle w:val="Nivel3"/>
        <w:numPr>
          <w:ilvl w:val="2"/>
          <w:numId w:val="153"/>
        </w:numPr>
        <w:ind w:left="284" w:right="0" w:hanging="0"/>
        <w:rPr>
          <w:rFonts w:ascii="Calibri Light" w:hAnsi="Calibri Light"/>
        </w:rPr>
      </w:pPr>
      <w:r>
        <w:rPr>
          <w:rFonts w:ascii="Calibri Light" w:hAnsi="Calibri Light"/>
          <w:i w:val="false"/>
          <w:iCs w:val="false"/>
          <w:color w:val="000000"/>
          <w:sz w:val="24"/>
          <w:szCs w:val="24"/>
          <w:shd w:fill="FFFFFF" w:val="clear"/>
        </w:rPr>
        <w:t>poderão ser repactuados, a pedido do interessado, conforme critérios definidos para a contratação.</w:t>
      </w:r>
    </w:p>
    <w:p>
      <w:pPr>
        <w:pStyle w:val="Nivel01"/>
        <w:numPr>
          <w:ilvl w:val="0"/>
          <w:numId w:val="3"/>
        </w:numPr>
        <w:ind w:left="357" w:right="0" w:hanging="357"/>
        <w:rPr>
          <w:rFonts w:ascii="Calibri Light" w:hAnsi="Calibri Light"/>
        </w:rPr>
      </w:pPr>
      <w:r>
        <w:rPr>
          <w:rFonts w:ascii="Calibri Light" w:hAnsi="Calibri Light"/>
          <w:i w:val="false"/>
          <w:iCs w:val="false"/>
          <w:color w:val="000000"/>
          <w:sz w:val="24"/>
          <w:szCs w:val="24"/>
          <w:shd w:fill="FFFFFF" w:val="clear"/>
        </w:rPr>
        <w:t>ADEQUAÇÃO ORÇAMENTÁRIA</w:t>
      </w:r>
    </w:p>
    <w:p>
      <w:pPr>
        <w:pStyle w:val="Nvel2-Opcional"/>
        <w:numPr>
          <w:ilvl w:val="1"/>
          <w:numId w:val="3"/>
        </w:numPr>
        <w:ind w:left="1709" w:right="0" w:hanging="432"/>
        <w:rPr>
          <w:rFonts w:ascii="Calibri Light" w:hAnsi="Calibri Light"/>
        </w:rPr>
      </w:pPr>
      <w:r>
        <w:rPr>
          <w:rFonts w:ascii="Calibri Light" w:hAnsi="Calibri Light"/>
          <w:i w:val="false"/>
          <w:iCs w:val="false"/>
          <w:color w:val="000000"/>
          <w:sz w:val="24"/>
          <w:szCs w:val="24"/>
          <w:shd w:fill="FFFFFF" w:val="clear"/>
        </w:rPr>
        <w:t>A indicação da dotação orçamentária fica postergada para o momento da assinatura do contrato ou instrumento equivalente.</w:t>
      </w:r>
    </w:p>
    <w:p>
      <w:pPr>
        <w:pStyle w:val="Nivel01"/>
        <w:numPr>
          <w:ilvl w:val="0"/>
          <w:numId w:val="3"/>
        </w:numPr>
        <w:ind w:left="357" w:right="0" w:hanging="357"/>
        <w:rPr>
          <w:rFonts w:ascii="Calibri Light" w:hAnsi="Calibri Light"/>
        </w:rPr>
      </w:pPr>
      <w:r>
        <w:rPr>
          <w:rFonts w:ascii="Calibri Light" w:hAnsi="Calibri Light"/>
          <w:i w:val="false"/>
          <w:iCs w:val="false"/>
          <w:color w:val="000000"/>
          <w:sz w:val="24"/>
          <w:szCs w:val="24"/>
          <w:shd w:fill="FFFFFF" w:val="clear"/>
        </w:rPr>
        <w:t>DISPOSIÇÕES FINAIS</w:t>
      </w:r>
    </w:p>
    <w:p>
      <w:pPr>
        <w:pStyle w:val="Nvel02"/>
        <w:numPr>
          <w:ilvl w:val="1"/>
          <w:numId w:val="3"/>
        </w:numPr>
        <w:ind w:left="0" w:right="0" w:hanging="0"/>
        <w:rPr>
          <w:rFonts w:ascii="Calibri Light" w:hAnsi="Calibri Light"/>
        </w:rPr>
      </w:pPr>
      <w:bookmarkStart w:id="22" w:name="_Hlk82471863"/>
      <w:r>
        <w:rPr>
          <w:rFonts w:ascii="Calibri Light" w:hAnsi="Calibri Light"/>
          <w:i w:val="false"/>
          <w:iCs w:val="false"/>
          <w:color w:val="000000"/>
          <w:sz w:val="24"/>
          <w:szCs w:val="24"/>
          <w:shd w:fill="FFFFFF" w:val="clear"/>
        </w:rPr>
        <w:t>As informações contidas neste Termo de Referência não são classificadas como sigilosas</w:t>
      </w:r>
      <w:bookmarkEnd w:id="22"/>
    </w:p>
    <w:p>
      <w:pPr>
        <w:pStyle w:val="Nvel2-Opcional"/>
        <w:numPr>
          <w:ilvl w:val="0"/>
          <w:numId w:val="0"/>
        </w:numPr>
        <w:ind w:left="709" w:right="0" w:hanging="0"/>
        <w:rPr>
          <w:rFonts w:ascii="Calibri Light" w:hAnsi="Calibri Light"/>
          <w:i w:val="false"/>
          <w:i w:val="false"/>
          <w:iCs w:val="false"/>
          <w:color w:val="000000"/>
          <w:sz w:val="24"/>
          <w:szCs w:val="24"/>
          <w:highlight w:val="none"/>
          <w:shd w:fill="FFFFFF" w:val="clear"/>
        </w:rPr>
      </w:pPr>
      <w:r>
        <w:rPr>
          <w:rFonts w:ascii="Calibri Light" w:hAnsi="Calibri Light"/>
          <w:i w:val="false"/>
          <w:iCs w:val="false"/>
          <w:color w:val="000000"/>
          <w:sz w:val="24"/>
          <w:szCs w:val="24"/>
          <w:shd w:fill="FFFFFF" w:val="clear"/>
        </w:rPr>
      </w:r>
    </w:p>
    <w:p>
      <w:pPr>
        <w:pStyle w:val="Nvel2-Opcional"/>
        <w:numPr>
          <w:ilvl w:val="0"/>
          <w:numId w:val="0"/>
        </w:numPr>
        <w:ind w:left="709" w:right="0" w:hanging="0"/>
        <w:jc w:val="center"/>
        <w:rPr>
          <w:rFonts w:ascii="Calibri Light" w:hAnsi="Calibri Light"/>
        </w:rPr>
      </w:pPr>
      <w:r>
        <w:rPr>
          <w:rFonts w:ascii="Calibri Light" w:hAnsi="Calibri Light"/>
          <w:i w:val="false"/>
          <w:iCs w:val="false"/>
          <w:color w:val="000000"/>
          <w:sz w:val="24"/>
          <w:szCs w:val="24"/>
          <w:shd w:fill="FFFFFF" w:val="clear"/>
        </w:rPr>
        <w:t>Tucuruí – PA, 20 de agosto de 2025.</w:t>
      </w:r>
    </w:p>
    <w:p>
      <w:pPr>
        <w:pStyle w:val="Nvel2-Opcional"/>
        <w:numPr>
          <w:ilvl w:val="0"/>
          <w:numId w:val="0"/>
        </w:numPr>
        <w:ind w:left="709" w:right="0" w:hanging="0"/>
        <w:rPr>
          <w:rFonts w:ascii="Calibri Light" w:hAnsi="Calibri Light"/>
          <w:i w:val="false"/>
          <w:i w:val="false"/>
          <w:iCs w:val="false"/>
          <w:color w:val="000000"/>
          <w:sz w:val="24"/>
          <w:szCs w:val="24"/>
        </w:rPr>
      </w:pPr>
      <w:r>
        <w:rPr>
          <w:rFonts w:ascii="Calibri Light" w:hAnsi="Calibri Light"/>
          <w:i w:val="false"/>
          <w:iCs w:val="false"/>
          <w:color w:val="000000"/>
          <w:sz w:val="24"/>
          <w:szCs w:val="24"/>
        </w:rPr>
      </w:r>
    </w:p>
    <w:p>
      <w:pPr>
        <w:pStyle w:val="Nvel2-Opcional"/>
        <w:numPr>
          <w:ilvl w:val="0"/>
          <w:numId w:val="0"/>
        </w:numPr>
        <w:ind w:left="709" w:right="0" w:hanging="0"/>
        <w:rPr>
          <w:rFonts w:ascii="Calibri Light" w:hAnsi="Calibri Light"/>
          <w:i w:val="false"/>
          <w:i w:val="false"/>
          <w:iCs w:val="false"/>
          <w:color w:val="000000"/>
          <w:sz w:val="24"/>
          <w:szCs w:val="24"/>
        </w:rPr>
      </w:pPr>
      <w:r>
        <w:rPr>
          <w:rFonts w:ascii="Calibri Light" w:hAnsi="Calibri Light"/>
          <w:i w:val="false"/>
          <w:iCs w:val="false"/>
          <w:color w:val="000000"/>
          <w:sz w:val="24"/>
          <w:szCs w:val="24"/>
        </w:rPr>
      </w:r>
    </w:p>
    <w:p>
      <w:pPr>
        <w:pStyle w:val="Nvel2-Opcional"/>
        <w:numPr>
          <w:ilvl w:val="0"/>
          <w:numId w:val="0"/>
        </w:numPr>
        <w:ind w:left="709" w:right="0" w:hanging="0"/>
        <w:rPr>
          <w:rFonts w:ascii="Calibri Light" w:hAnsi="Calibri Light"/>
          <w:i w:val="false"/>
          <w:i w:val="false"/>
          <w:iCs w:val="false"/>
          <w:color w:val="000000"/>
          <w:sz w:val="24"/>
          <w:szCs w:val="24"/>
        </w:rPr>
      </w:pPr>
      <w:r>
        <w:rPr>
          <w:rFonts w:ascii="Calibri Light" w:hAnsi="Calibri Light"/>
          <w:i w:val="false"/>
          <w:iCs w:val="false"/>
          <w:color w:val="000000"/>
          <w:sz w:val="24"/>
          <w:szCs w:val="24"/>
        </w:rPr>
      </w:r>
    </w:p>
    <w:p>
      <w:pPr>
        <w:pStyle w:val="Normal"/>
        <w:spacing w:lineRule="auto" w:line="312" w:before="18" w:after="0"/>
        <w:ind w:left="0" w:right="0" w:firstLine="709"/>
        <w:jc w:val="center"/>
        <w:rPr>
          <w:rFonts w:ascii="Calibri Light" w:hAnsi="Calibri Light"/>
        </w:rPr>
      </w:pPr>
      <w:r>
        <w:rPr>
          <w:rFonts w:eastAsia="Arial" w:cs="Arial" w:ascii="Calibri Light" w:hAnsi="Calibri Light"/>
          <w:i w:val="false"/>
          <w:iCs w:val="false"/>
          <w:color w:val="000000"/>
          <w:sz w:val="24"/>
          <w:szCs w:val="24"/>
        </w:rPr>
        <w:t>GABRIEL DONDEO LIMA – Cap</w:t>
      </w:r>
    </w:p>
    <w:p>
      <w:pPr>
        <w:pStyle w:val="Normal"/>
        <w:spacing w:lineRule="auto" w:line="312" w:before="18" w:after="0"/>
        <w:ind w:left="0" w:right="0" w:firstLine="709"/>
        <w:jc w:val="center"/>
        <w:rPr>
          <w:rFonts w:ascii="Calibri Light" w:hAnsi="Calibri Light"/>
        </w:rPr>
      </w:pPr>
      <w:r>
        <w:rPr>
          <w:rFonts w:eastAsia="Arial" w:cs="Arial" w:ascii="Calibri Light" w:hAnsi="Calibri Light"/>
          <w:i w:val="false"/>
          <w:iCs w:val="false"/>
          <w:color w:val="000000"/>
          <w:sz w:val="24"/>
          <w:szCs w:val="24"/>
        </w:rPr>
        <w:t>Ordenador de Despesas do 23° Esquadrão de Cavalaria de Selva</w:t>
      </w:r>
      <w:r>
        <w:br w:type="page"/>
      </w:r>
    </w:p>
    <w:p>
      <w:pPr>
        <w:pStyle w:val="Normal"/>
        <w:numPr>
          <w:ilvl w:val="0"/>
          <w:numId w:val="0"/>
        </w:numPr>
        <w:ind w:left="357" w:right="0" w:hanging="0"/>
        <w:jc w:val="center"/>
        <w:outlineLvl w:val="0"/>
        <w:rPr>
          <w:rFonts w:ascii="Calibri Light" w:hAnsi="Calibri Light"/>
        </w:rPr>
      </w:pPr>
      <w:r>
        <w:rPr>
          <w:rFonts w:ascii="Calibri Light" w:hAnsi="Calibri Light"/>
          <w:b/>
          <w:i w:val="false"/>
          <w:iCs w:val="false"/>
          <w:color w:val="000000"/>
          <w:sz w:val="20"/>
        </w:rPr>
        <w:t>ANEXO I</w:t>
      </w:r>
    </w:p>
    <w:p>
      <w:pPr>
        <w:pStyle w:val="Normal"/>
        <w:spacing w:before="0" w:after="360"/>
        <w:ind w:left="357" w:right="0" w:hanging="0"/>
        <w:jc w:val="center"/>
        <w:rPr>
          <w:rFonts w:ascii="Calibri Light" w:hAnsi="Calibri Light"/>
        </w:rPr>
      </w:pPr>
      <w:r>
        <w:rPr>
          <w:rFonts w:ascii="Calibri Light" w:hAnsi="Calibri Light"/>
          <w:b/>
          <w:i w:val="false"/>
          <w:iCs w:val="false"/>
          <w:color w:val="000000"/>
          <w:sz w:val="20"/>
        </w:rPr>
        <w:t>Regras aplicáveis ao instrumento substitutivo ao contrato</w:t>
      </w:r>
    </w:p>
    <w:p>
      <w:pPr>
        <w:pStyle w:val="Normal"/>
        <w:ind w:left="357" w:right="0" w:hanging="0"/>
        <w:jc w:val="center"/>
        <w:rPr>
          <w:rFonts w:ascii="Calibri Light" w:hAnsi="Calibri Light"/>
        </w:rPr>
      </w:pPr>
      <w:r>
        <w:rPr>
          <w:rFonts w:ascii="Calibri Light" w:hAnsi="Calibri Light"/>
          <w:b/>
          <w:i w:val="false"/>
          <w:iCs w:val="false"/>
          <w:color w:val="000000"/>
          <w:sz w:val="20"/>
        </w:rPr>
        <w:t>(Contratações de pequeno valor - art. 95, inciso I, da Lei n. 14.133/2021, Orientação Normativa nº 84, de 17 de maio de 2024)</w:t>
      </w:r>
    </w:p>
    <w:p>
      <w:pPr>
        <w:pStyle w:val="Normal"/>
        <w:ind w:left="357" w:right="0" w:hanging="0"/>
        <w:jc w:val="center"/>
        <w:rPr>
          <w:rFonts w:ascii="Calibri Light" w:hAnsi="Calibri Light"/>
          <w:b/>
          <w:i w:val="false"/>
          <w:i w:val="false"/>
          <w:iCs w:val="false"/>
          <w:color w:val="000000"/>
          <w:sz w:val="20"/>
        </w:rPr>
      </w:pPr>
      <w:r>
        <w:rPr>
          <w:rFonts w:ascii="Calibri Light" w:hAnsi="Calibri Light"/>
          <w:b/>
          <w:i w:val="false"/>
          <w:iCs w:val="false"/>
          <w:color w:val="000000"/>
          <w:sz w:val="20"/>
        </w:rPr>
      </w:r>
    </w:p>
    <w:p>
      <w:pPr>
        <w:pStyle w:val="Nivel01"/>
        <w:numPr>
          <w:ilvl w:val="0"/>
          <w:numId w:val="154"/>
        </w:numPr>
        <w:ind w:left="0" w:right="0" w:hanging="0"/>
        <w:rPr>
          <w:rFonts w:ascii="Calibri Light" w:hAnsi="Calibri Light"/>
        </w:rPr>
      </w:pPr>
      <w:r>
        <w:rPr>
          <w:rFonts w:ascii="Calibri Light" w:hAnsi="Calibri Light"/>
          <w:i w:val="false"/>
          <w:iCs w:val="false"/>
          <w:color w:val="000000"/>
        </w:rPr>
        <w:t>FORMALIZAÇÃO DA CONTRATAÇÃO</w:t>
      </w:r>
    </w:p>
    <w:p>
      <w:pPr>
        <w:pStyle w:val="Nvel02"/>
        <w:numPr>
          <w:ilvl w:val="1"/>
          <w:numId w:val="3"/>
        </w:numPr>
        <w:ind w:left="0" w:right="0" w:hanging="0"/>
        <w:rPr>
          <w:rFonts w:ascii="Calibri Light" w:hAnsi="Calibri Light"/>
        </w:rPr>
      </w:pPr>
      <w:bookmarkStart w:id="23" w:name="_Hlk175669327"/>
      <w:r>
        <w:rPr>
          <w:rFonts w:ascii="Calibri Light" w:hAnsi="Calibri Light"/>
          <w:i w:val="false"/>
          <w:iCs w:val="false"/>
          <w:color w:val="000000"/>
        </w:rPr>
        <w:t>O adjudicatário terá o prazo de 5 (cinco) dias, contado a partir da data de sua convocação, para aceitar o instrumento equivalente ao contrato, Nota de Empenho, sob pena de decair do direito à contratação, sem prejuízo das sanções previstas.</w:t>
      </w:r>
      <w:bookmarkEnd w:id="23"/>
    </w:p>
    <w:p>
      <w:pPr>
        <w:pStyle w:val="Nvel02"/>
        <w:numPr>
          <w:ilvl w:val="1"/>
          <w:numId w:val="3"/>
        </w:numPr>
        <w:ind w:left="0" w:right="0" w:hanging="0"/>
        <w:rPr>
          <w:rFonts w:ascii="Calibri Light" w:hAnsi="Calibri Light"/>
        </w:rPr>
      </w:pPr>
      <w:r>
        <w:rPr>
          <w:rFonts w:ascii="Calibri Light" w:hAnsi="Calibri Light"/>
          <w:i w:val="false"/>
          <w:iCs w:val="false"/>
          <w:color w:val="000000"/>
        </w:rPr>
        <w:t>O prazo poderá ser prorrogado, por igual período, por solicitação justificada do adjudicatário e aceita pela Administração.</w:t>
      </w:r>
    </w:p>
    <w:p>
      <w:pPr>
        <w:pStyle w:val="Nvel02"/>
        <w:numPr>
          <w:ilvl w:val="1"/>
          <w:numId w:val="3"/>
        </w:numPr>
        <w:ind w:left="0" w:right="0" w:hanging="0"/>
        <w:rPr>
          <w:rFonts w:ascii="Calibri Light" w:hAnsi="Calibri Light"/>
        </w:rPr>
      </w:pPr>
      <w:r>
        <w:rPr>
          <w:rFonts w:ascii="Calibri Light" w:hAnsi="Calibri Light"/>
          <w:i w:val="false"/>
          <w:iCs w:val="false"/>
          <w:color w:val="000000"/>
        </w:rPr>
        <w:t>O aceite do instrumento equivalente pelo adjudicatário implica no reconhecimento de que:</w:t>
      </w:r>
    </w:p>
    <w:p>
      <w:pPr>
        <w:pStyle w:val="Nivel3"/>
        <w:numPr>
          <w:ilvl w:val="2"/>
          <w:numId w:val="155"/>
        </w:numPr>
        <w:ind w:left="284" w:right="0" w:hanging="0"/>
        <w:rPr>
          <w:rFonts w:ascii="Calibri Light" w:hAnsi="Calibri Light"/>
        </w:rPr>
      </w:pPr>
      <w:r>
        <w:rPr>
          <w:rFonts w:ascii="Calibri Light" w:hAnsi="Calibri Light"/>
          <w:i w:val="false"/>
          <w:iCs w:val="false"/>
          <w:color w:val="000000"/>
        </w:rPr>
        <w:t>referido instrumento substitui o termo de contrato, sendo-lhe aplicáveis as disposições da Lei nº 14.133/2021;</w:t>
      </w:r>
    </w:p>
    <w:p>
      <w:pPr>
        <w:pStyle w:val="Nivel3"/>
        <w:numPr>
          <w:ilvl w:val="2"/>
          <w:numId w:val="156"/>
        </w:numPr>
        <w:ind w:left="284" w:right="0" w:hanging="0"/>
        <w:rPr>
          <w:rFonts w:ascii="Calibri Light" w:hAnsi="Calibri Light"/>
        </w:rPr>
      </w:pPr>
      <w:r>
        <w:rPr>
          <w:rFonts w:ascii="Calibri Light" w:hAnsi="Calibri Light"/>
          <w:i w:val="false"/>
          <w:iCs w:val="false"/>
          <w:color w:val="000000"/>
        </w:rPr>
        <w:t xml:space="preserve">o Contratado se vincula à sua proposta e às previsões contidas no </w:t>
      </w:r>
      <w:r>
        <w:rPr>
          <w:rFonts w:ascii="Calibri Light" w:hAnsi="Calibri Light"/>
          <w:i w:val="false"/>
          <w:iCs w:val="false"/>
          <w:color w:val="000000"/>
          <w:shd w:fill="FFFFFF" w:val="clear"/>
        </w:rPr>
        <w:t>Edital</w:t>
      </w:r>
      <w:r>
        <w:rPr>
          <w:rFonts w:ascii="Calibri Light" w:hAnsi="Calibri Light"/>
          <w:i w:val="false"/>
          <w:iCs w:val="false"/>
          <w:color w:val="000000"/>
        </w:rPr>
        <w:t>, no Termo de Referência e em seus anexos, conforme Termo de Ciência e Concordância (Anexo II).</w:t>
      </w:r>
    </w:p>
    <w:p>
      <w:pPr>
        <w:pStyle w:val="Nivel01"/>
        <w:numPr>
          <w:ilvl w:val="0"/>
          <w:numId w:val="3"/>
        </w:numPr>
        <w:ind w:left="357" w:right="0" w:hanging="357"/>
        <w:rPr>
          <w:rFonts w:ascii="Calibri Light" w:hAnsi="Calibri Light"/>
        </w:rPr>
      </w:pPr>
      <w:r>
        <w:rPr>
          <w:rFonts w:ascii="Calibri Light" w:hAnsi="Calibri Light"/>
          <w:i w:val="false"/>
          <w:iCs w:val="false"/>
          <w:color w:val="000000"/>
        </w:rPr>
        <w:t>VIGÊNCIA E PRORROGAÇÃO</w:t>
      </w:r>
    </w:p>
    <w:p>
      <w:pPr>
        <w:pStyle w:val="Nvel2-Opcional"/>
        <w:numPr>
          <w:ilvl w:val="1"/>
          <w:numId w:val="3"/>
        </w:numPr>
        <w:ind w:left="1709" w:right="0" w:hanging="432"/>
        <w:rPr>
          <w:rFonts w:ascii="Calibri Light" w:hAnsi="Calibri Light"/>
        </w:rPr>
      </w:pPr>
      <w:r>
        <w:rPr>
          <w:rFonts w:ascii="Calibri Light" w:hAnsi="Calibri Light"/>
          <w:i w:val="false"/>
          <w:iCs w:val="false"/>
          <w:color w:val="000000"/>
        </w:rPr>
        <w:t>O prazo de vigência da contratação é aquele estabelecido no Termo de Referência, na forma do artigo 105 da Lei n° 14.133, de 2021.</w:t>
      </w:r>
    </w:p>
    <w:p>
      <w:pPr>
        <w:pStyle w:val="Nvel2-Opcional"/>
        <w:numPr>
          <w:ilvl w:val="1"/>
          <w:numId w:val="3"/>
        </w:numPr>
        <w:ind w:left="1709" w:right="0" w:hanging="432"/>
        <w:rPr>
          <w:rFonts w:ascii="Calibri Light" w:hAnsi="Calibri Light"/>
        </w:rPr>
      </w:pPr>
      <w:r>
        <w:rPr>
          <w:rFonts w:ascii="Calibri Light" w:hAnsi="Calibri Light"/>
          <w:i w:val="false"/>
          <w:iCs w:val="false"/>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Ou"/>
        <w:rPr>
          <w:rFonts w:ascii="Calibri Light" w:hAnsi="Calibri Light"/>
          <w:i w:val="false"/>
          <w:i w:val="false"/>
          <w:iCs w:val="false"/>
          <w:color w:val="000000"/>
          <w:shd w:fill="FFFF00" w:val="clear"/>
        </w:rPr>
      </w:pPr>
      <w:r>
        <w:rPr>
          <w:rFonts w:ascii="Calibri Light" w:hAnsi="Calibri Light"/>
          <w:i w:val="false"/>
          <w:iCs w:val="false"/>
          <w:color w:val="000000"/>
          <w:shd w:fill="FFFF00" w:val="clear"/>
        </w:rPr>
      </w:r>
    </w:p>
    <w:p>
      <w:pPr>
        <w:pStyle w:val="Nivel01"/>
        <w:numPr>
          <w:ilvl w:val="0"/>
          <w:numId w:val="11"/>
        </w:numPr>
        <w:ind w:left="357" w:right="0" w:hanging="357"/>
        <w:rPr>
          <w:rFonts w:ascii="Calibri Light" w:hAnsi="Calibri Light"/>
        </w:rPr>
      </w:pPr>
      <w:r>
        <w:rPr>
          <w:rFonts w:ascii="Calibri Light" w:hAnsi="Calibri Light"/>
          <w:i w:val="false"/>
          <w:iCs w:val="false"/>
          <w:color w:val="000000"/>
        </w:rPr>
        <w:t xml:space="preserve">OBRIGAÇÕES DO CONTRATANTE </w:t>
      </w:r>
    </w:p>
    <w:p>
      <w:pPr>
        <w:pStyle w:val="Nvel02"/>
        <w:numPr>
          <w:ilvl w:val="1"/>
          <w:numId w:val="11"/>
        </w:numPr>
        <w:ind w:left="0" w:right="0" w:hanging="0"/>
        <w:rPr>
          <w:rFonts w:ascii="Calibri Light" w:hAnsi="Calibri Light"/>
        </w:rPr>
      </w:pPr>
      <w:r>
        <w:rPr>
          <w:rFonts w:ascii="Calibri Light" w:hAnsi="Calibri Light"/>
          <w:i w:val="false"/>
          <w:iCs w:val="false"/>
          <w:color w:val="000000"/>
        </w:rPr>
        <w:t>São obrigações do Contratante:</w:t>
      </w:r>
    </w:p>
    <w:p>
      <w:pPr>
        <w:pStyle w:val="Nivel3"/>
        <w:numPr>
          <w:ilvl w:val="2"/>
          <w:numId w:val="157"/>
        </w:numPr>
        <w:ind w:left="284" w:right="0" w:hanging="0"/>
        <w:rPr>
          <w:rFonts w:ascii="Calibri Light" w:hAnsi="Calibri Light"/>
        </w:rPr>
      </w:pPr>
      <w:r>
        <w:rPr>
          <w:rFonts w:ascii="Calibri Light" w:hAnsi="Calibri Light"/>
          <w:i w:val="false"/>
          <w:iCs w:val="false"/>
          <w:color w:val="000000"/>
        </w:rPr>
        <w:t>Exigir o cumprimento de todas as obrigações assumidas pelo Contratado, de acordo com o Termo de Referência e seus anexos;</w:t>
      </w:r>
    </w:p>
    <w:p>
      <w:pPr>
        <w:pStyle w:val="Nivel3"/>
        <w:numPr>
          <w:ilvl w:val="2"/>
          <w:numId w:val="158"/>
        </w:numPr>
        <w:ind w:left="284" w:right="0" w:hanging="0"/>
        <w:rPr>
          <w:rFonts w:ascii="Calibri Light" w:hAnsi="Calibri Light"/>
        </w:rPr>
      </w:pPr>
      <w:r>
        <w:rPr>
          <w:rFonts w:ascii="Calibri Light" w:hAnsi="Calibri Light"/>
          <w:i w:val="false"/>
          <w:iCs w:val="false"/>
          <w:color w:val="000000"/>
        </w:rPr>
        <w:t>Receber o objeto no prazo e condições estabelecidas no Termo de Referência;</w:t>
      </w:r>
    </w:p>
    <w:p>
      <w:pPr>
        <w:pStyle w:val="Nivel3"/>
        <w:numPr>
          <w:ilvl w:val="2"/>
          <w:numId w:val="159"/>
        </w:numPr>
        <w:ind w:left="284" w:right="0" w:hanging="0"/>
        <w:rPr>
          <w:rFonts w:ascii="Calibri Light" w:hAnsi="Calibri Light"/>
        </w:rPr>
      </w:pPr>
      <w:r>
        <w:rPr>
          <w:rFonts w:ascii="Calibri Light" w:hAnsi="Calibri Light"/>
          <w:i w:val="false"/>
          <w:iCs w:val="false"/>
          <w:color w:val="000000"/>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60"/>
        </w:numPr>
        <w:ind w:left="284" w:right="0" w:hanging="0"/>
        <w:rPr>
          <w:rFonts w:ascii="Calibri Light" w:hAnsi="Calibri Light"/>
        </w:rPr>
      </w:pPr>
      <w:r>
        <w:rPr>
          <w:rFonts w:ascii="Calibri Light" w:hAnsi="Calibri Light"/>
          <w:i w:val="false"/>
          <w:iCs w:val="false"/>
          <w:color w:val="000000"/>
        </w:rPr>
        <w:t>Acompanhar e fiscalizar a execução contratual e o cumprimento das obrigações pelo Contratado;</w:t>
      </w:r>
    </w:p>
    <w:p>
      <w:pPr>
        <w:pStyle w:val="Nivel3"/>
        <w:numPr>
          <w:ilvl w:val="2"/>
          <w:numId w:val="161"/>
        </w:numPr>
        <w:ind w:left="284" w:right="0" w:hanging="0"/>
        <w:rPr>
          <w:rFonts w:ascii="Calibri Light" w:hAnsi="Calibri Light"/>
        </w:rPr>
      </w:pPr>
      <w:r>
        <w:rPr>
          <w:rFonts w:ascii="Calibri Light" w:hAnsi="Calibri Light"/>
          <w:i w:val="false"/>
          <w:iCs w:val="false"/>
          <w:color w:val="000000"/>
        </w:rPr>
        <w:t xml:space="preserve">Efetuar o pagamento ao Contratado do valor correspondente </w:t>
      </w:r>
      <w:r>
        <w:rPr>
          <w:rFonts w:eastAsia="Arial" w:cs="Arial" w:ascii="Calibri Light" w:hAnsi="Calibri Light"/>
          <w:i w:val="false"/>
          <w:iCs w:val="false"/>
          <w:color w:val="000000"/>
          <w:szCs w:val="20"/>
        </w:rPr>
        <w:t>ao fornecimento</w:t>
      </w:r>
      <w:r>
        <w:rPr>
          <w:rFonts w:ascii="Calibri Light" w:hAnsi="Calibri Light"/>
          <w:i w:val="false"/>
          <w:iCs w:val="false"/>
          <w:color w:val="000000"/>
        </w:rPr>
        <w:t xml:space="preserve"> do objeto, no prazo, forma e condições estabelecidos no Termo de Referência</w:t>
      </w:r>
      <w:r>
        <w:rPr>
          <w:rFonts w:eastAsia="Arial" w:cs="Arial" w:ascii="Calibri Light" w:hAnsi="Calibri Light"/>
          <w:i w:val="false"/>
          <w:iCs w:val="false"/>
          <w:color w:val="000000"/>
          <w:szCs w:val="20"/>
        </w:rPr>
        <w:t xml:space="preserve"> e neste Anexo</w:t>
      </w:r>
      <w:r>
        <w:rPr>
          <w:rFonts w:ascii="Calibri Light" w:hAnsi="Calibri Light"/>
          <w:i w:val="false"/>
          <w:iCs w:val="false"/>
          <w:color w:val="000000"/>
        </w:rPr>
        <w:t>;</w:t>
      </w:r>
    </w:p>
    <w:p>
      <w:pPr>
        <w:pStyle w:val="Nivel3"/>
        <w:numPr>
          <w:ilvl w:val="2"/>
          <w:numId w:val="162"/>
        </w:numPr>
        <w:ind w:left="284" w:right="0" w:hanging="0"/>
        <w:rPr>
          <w:rFonts w:ascii="Calibri Light" w:hAnsi="Calibri Light"/>
        </w:rPr>
      </w:pPr>
      <w:r>
        <w:rPr>
          <w:rFonts w:ascii="Calibri Light" w:hAnsi="Calibri Light"/>
          <w:i w:val="false"/>
          <w:iCs w:val="false"/>
          <w:color w:val="000000"/>
        </w:rPr>
        <w:t xml:space="preserve">Aplicar ao Contratado as sanções previstas na lei e no Termo de Referência; </w:t>
      </w:r>
    </w:p>
    <w:p>
      <w:pPr>
        <w:pStyle w:val="Nivel3"/>
        <w:numPr>
          <w:ilvl w:val="2"/>
          <w:numId w:val="163"/>
        </w:numPr>
        <w:ind w:left="284" w:right="0" w:hanging="0"/>
        <w:rPr>
          <w:rFonts w:ascii="Calibri Light" w:hAnsi="Calibri Light"/>
        </w:rPr>
      </w:pPr>
      <w:r>
        <w:rPr>
          <w:rFonts w:ascii="Calibri Light" w:hAnsi="Calibri Light"/>
          <w:i w:val="false"/>
          <w:iCs w:val="false"/>
          <w:color w:val="000000"/>
        </w:rPr>
        <w:t>Cientificar o órgão de representação judicial da Advocacia-Geral da União para adoção das medidas cabíveis quando do descumprimento de obrigações pelo Contratado;</w:t>
      </w:r>
    </w:p>
    <w:p>
      <w:pPr>
        <w:pStyle w:val="Nivel3"/>
        <w:numPr>
          <w:ilvl w:val="2"/>
          <w:numId w:val="164"/>
        </w:numPr>
        <w:ind w:left="284" w:right="0" w:hanging="0"/>
        <w:rPr>
          <w:rFonts w:ascii="Calibri Light" w:hAnsi="Calibri Light"/>
        </w:rPr>
      </w:pPr>
      <w:r>
        <w:rPr>
          <w:rFonts w:ascii="Calibri Light" w:hAnsi="Calibri Light"/>
          <w:i w:val="false"/>
          <w:iCs w:val="false"/>
          <w:color w:val="000000"/>
        </w:rPr>
        <w:t>Explicitamente emitir decisão sobre todas as solicitações e reclamações relacionadas à execução contratual, ressalvados os requerimentos manifestamente impertinentes, meramente protelatórios ou de nenhum interesse para a boa execução do ajuste.</w:t>
      </w:r>
    </w:p>
    <w:p>
      <w:pPr>
        <w:pStyle w:val="Nivel4"/>
        <w:numPr>
          <w:ilvl w:val="3"/>
          <w:numId w:val="165"/>
        </w:numPr>
        <w:ind w:left="567" w:right="0" w:hanging="0"/>
        <w:rPr>
          <w:rFonts w:ascii="Calibri Light" w:hAnsi="Calibri Light"/>
        </w:rPr>
      </w:pPr>
      <w:r>
        <w:rPr>
          <w:rFonts w:ascii="Calibri Light" w:hAnsi="Calibri Light"/>
          <w:bCs w:val="false"/>
          <w:i w:val="false"/>
          <w:iCs w:val="false"/>
          <w:color w:val="000000"/>
        </w:rPr>
        <w:t xml:space="preserve"> </w:t>
      </w:r>
      <w:r>
        <w:rPr>
          <w:rFonts w:ascii="Calibri Light" w:hAnsi="Calibri Light"/>
          <w:bCs w:val="false"/>
          <w:i w:val="false"/>
          <w:iCs w:val="false"/>
          <w:color w:val="000000"/>
        </w:rPr>
        <w:t xml:space="preserve">A Administração terá o prazo de 30 (trinta) a contar da data do protocolo do requerimento para decidir, admitida a prorrogação motivada, por igual período. </w:t>
      </w:r>
    </w:p>
    <w:p>
      <w:pPr>
        <w:pStyle w:val="Nivel3"/>
        <w:numPr>
          <w:ilvl w:val="2"/>
          <w:numId w:val="166"/>
        </w:numPr>
        <w:ind w:left="284" w:right="0" w:hanging="0"/>
        <w:rPr>
          <w:rFonts w:ascii="Calibri Light" w:hAnsi="Calibri Light"/>
        </w:rPr>
      </w:pPr>
      <w:r>
        <w:rPr>
          <w:rFonts w:ascii="Calibri Light" w:hAnsi="Calibri Light"/>
          <w:i w:val="false"/>
          <w:iCs w:val="false"/>
          <w:color w:val="000000"/>
        </w:rPr>
        <w:t>Responder eventuais pedidos de reestabelecimento do equilíbrio econômico-financeiro feitos pelo Contratado no prazo máximo de 30 (trinta) dias.</w:t>
      </w:r>
    </w:p>
    <w:p>
      <w:pPr>
        <w:pStyle w:val="Nvel3-Opcional"/>
        <w:numPr>
          <w:ilvl w:val="2"/>
          <w:numId w:val="167"/>
        </w:numPr>
        <w:ind w:left="284" w:right="0" w:hanging="0"/>
        <w:rPr>
          <w:rFonts w:ascii="Calibri Light" w:hAnsi="Calibri Light"/>
        </w:rPr>
      </w:pPr>
      <w:bookmarkStart w:id="24" w:name="_Hlk114499841"/>
      <w:bookmarkEnd w:id="24"/>
      <w:r>
        <w:rPr>
          <w:rFonts w:ascii="Calibri Light" w:hAnsi="Calibri Light"/>
          <w:i w:val="false"/>
          <w:iCs w:val="false"/>
          <w:color w:val="000000"/>
        </w:rPr>
        <w:t>Notificar os emitentes das garantias quanto ao início de processo administrativo para apuração de descumprimento de cláusulas contratuais.</w:t>
      </w:r>
    </w:p>
    <w:p>
      <w:pPr>
        <w:pStyle w:val="Nvel02"/>
        <w:numPr>
          <w:ilvl w:val="1"/>
          <w:numId w:val="11"/>
        </w:numPr>
        <w:ind w:left="0" w:right="0" w:hanging="0"/>
        <w:rPr>
          <w:rFonts w:ascii="Calibri Light" w:hAnsi="Calibri Light"/>
        </w:rPr>
      </w:pPr>
      <w:r>
        <w:rPr>
          <w:rFonts w:ascii="Calibri Light" w:hAnsi="Calibri Light"/>
          <w:i w:val="false"/>
          <w:iCs w:val="false"/>
          <w:color w:val="000000"/>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pPr>
        <w:pStyle w:val="Nivel01"/>
        <w:numPr>
          <w:ilvl w:val="0"/>
          <w:numId w:val="11"/>
        </w:numPr>
        <w:ind w:left="357" w:right="0" w:hanging="357"/>
        <w:rPr>
          <w:rFonts w:ascii="Calibri Light" w:hAnsi="Calibri Light"/>
        </w:rPr>
      </w:pPr>
      <w:r>
        <w:rPr>
          <w:rFonts w:ascii="Calibri Light" w:hAnsi="Calibri Light"/>
          <w:i w:val="false"/>
          <w:iCs w:val="false"/>
          <w:color w:val="000000"/>
        </w:rPr>
        <w:t>OBRIGAÇÕES DO CONTRATADO</w:t>
      </w:r>
    </w:p>
    <w:p>
      <w:pPr>
        <w:pStyle w:val="Nvel02"/>
        <w:numPr>
          <w:ilvl w:val="1"/>
          <w:numId w:val="11"/>
        </w:numPr>
        <w:ind w:left="0" w:right="0" w:hanging="0"/>
        <w:rPr>
          <w:rFonts w:ascii="Calibri Light" w:hAnsi="Calibri Light"/>
        </w:rPr>
      </w:pPr>
      <w:r>
        <w:rPr>
          <w:rFonts w:ascii="Calibri Light" w:hAnsi="Calibri Light"/>
          <w:i w:val="false"/>
          <w:iCs w:val="false"/>
          <w:color w:val="000000"/>
        </w:rPr>
        <w:t>O Contratado deve cumprir todas as obrigações constantes do Termo de Referência e deste Anexo, assumindo como exclusivamente seus os riscos e as despesas decorrentes da boa e perfeita execução do objeto, observando, ainda, as obrigações a seguir dispostas:</w:t>
      </w:r>
    </w:p>
    <w:p>
      <w:pPr>
        <w:pStyle w:val="Nivel3"/>
        <w:numPr>
          <w:ilvl w:val="2"/>
          <w:numId w:val="168"/>
        </w:numPr>
        <w:ind w:left="284" w:right="0" w:hanging="0"/>
        <w:rPr>
          <w:rFonts w:ascii="Calibri Light" w:hAnsi="Calibri Light"/>
        </w:rPr>
      </w:pPr>
      <w:bookmarkStart w:id="25" w:name="_Hlk175669396"/>
      <w:r>
        <w:rPr>
          <w:rFonts w:ascii="Calibri Light" w:hAnsi="Calibri Light"/>
          <w:i w:val="false"/>
          <w:iCs w:val="false"/>
          <w:color w:val="000000"/>
        </w:rPr>
        <w:t xml:space="preserve">Entregar o objeto acompanhado do manual do usuário, com uma versão em </w:t>
      </w:r>
      <w:r>
        <w:rPr>
          <w:rFonts w:eastAsia="Arial" w:ascii="Calibri Light" w:hAnsi="Calibri Light"/>
          <w:i w:val="false"/>
          <w:iCs w:val="false"/>
          <w:color w:val="000000"/>
        </w:rPr>
        <w:t>português, e da relação da rede de assistência técnica autorizada;</w:t>
      </w:r>
      <w:bookmarkEnd w:id="25"/>
    </w:p>
    <w:p>
      <w:pPr>
        <w:pStyle w:val="Nivel3"/>
        <w:numPr>
          <w:ilvl w:val="2"/>
          <w:numId w:val="169"/>
        </w:numPr>
        <w:ind w:left="284" w:right="0" w:hanging="0"/>
        <w:rPr>
          <w:rFonts w:ascii="Calibri Light" w:hAnsi="Calibri Light"/>
        </w:rPr>
      </w:pPr>
      <w:r>
        <w:rPr>
          <w:rFonts w:ascii="Calibri Light" w:hAnsi="Calibri Light"/>
          <w:i w:val="false"/>
          <w:iCs w:val="false"/>
          <w:color w:val="000000"/>
        </w:rPr>
        <w:t xml:space="preserve">Responsabilizar-se pelos vícios e danos decorrentes do objeto, de acordo com o Código de </w:t>
      </w:r>
      <w:r>
        <w:rPr>
          <w:rFonts w:eastAsia="MS Mincho" w:ascii="Calibri Light" w:hAnsi="Calibri Light"/>
          <w:i w:val="false"/>
          <w:iCs w:val="false"/>
          <w:color w:val="000000"/>
        </w:rPr>
        <w:t>Defesa</w:t>
      </w:r>
      <w:r>
        <w:rPr>
          <w:rFonts w:ascii="Calibri Light" w:hAnsi="Calibri Light"/>
          <w:i w:val="false"/>
          <w:iCs w:val="false"/>
          <w:color w:val="000000"/>
        </w:rPr>
        <w:t xml:space="preserve"> do Consumidor;</w:t>
      </w:r>
    </w:p>
    <w:p>
      <w:pPr>
        <w:pStyle w:val="Nivel3"/>
        <w:numPr>
          <w:ilvl w:val="2"/>
          <w:numId w:val="170"/>
        </w:numPr>
        <w:ind w:left="284" w:right="0" w:hanging="0"/>
        <w:rPr>
          <w:rFonts w:ascii="Calibri Light" w:hAnsi="Calibri Light"/>
        </w:rPr>
      </w:pPr>
      <w:r>
        <w:rPr>
          <w:rFonts w:ascii="Calibri Light" w:hAnsi="Calibri Light"/>
          <w:i w:val="false"/>
          <w:iCs w:val="false"/>
          <w:color w:val="000000"/>
        </w:rPr>
        <w:t xml:space="preserve">Comunicar ao Contratante, no prazo máximo de 24 (vinte e quatro) horas que antecede a </w:t>
      </w:r>
      <w:r>
        <w:rPr>
          <w:rFonts w:eastAsia="MS Mincho" w:ascii="Calibri Light" w:hAnsi="Calibri Light"/>
          <w:i w:val="false"/>
          <w:iCs w:val="false"/>
          <w:color w:val="000000"/>
        </w:rPr>
        <w:t>data</w:t>
      </w:r>
      <w:r>
        <w:rPr>
          <w:rFonts w:ascii="Calibri Light" w:hAnsi="Calibri Light"/>
          <w:i w:val="false"/>
          <w:iCs w:val="false"/>
          <w:color w:val="000000"/>
        </w:rPr>
        <w:t xml:space="preserve"> da entrega, os motivos que impossibilitem o cumprimento do prazo previsto, com a devida comprovação;</w:t>
      </w:r>
    </w:p>
    <w:p>
      <w:pPr>
        <w:pStyle w:val="Nivel3"/>
        <w:numPr>
          <w:ilvl w:val="2"/>
          <w:numId w:val="171"/>
        </w:numPr>
        <w:ind w:left="284" w:right="0" w:hanging="0"/>
        <w:rPr>
          <w:rFonts w:ascii="Calibri Light" w:hAnsi="Calibri Light"/>
        </w:rPr>
      </w:pPr>
      <w:r>
        <w:rPr>
          <w:rFonts w:ascii="Calibri Light" w:hAnsi="Calibri Light"/>
          <w:i w:val="false"/>
          <w:iCs w:val="false"/>
          <w:color w:val="000000"/>
        </w:rPr>
        <w:t xml:space="preserve">Atender às determinações regulares emitidas pelo fiscal </w:t>
      </w:r>
      <w:r>
        <w:rPr>
          <w:rFonts w:eastAsia="Arial" w:cs="Arial" w:ascii="Calibri Light" w:hAnsi="Calibri Light"/>
          <w:i w:val="false"/>
          <w:iCs w:val="false"/>
          <w:color w:val="000000"/>
          <w:szCs w:val="20"/>
        </w:rPr>
        <w:t>ou gestor contratuais</w:t>
      </w:r>
      <w:r>
        <w:rPr>
          <w:rFonts w:ascii="Calibri Light" w:hAnsi="Calibri Light"/>
          <w:i w:val="false"/>
          <w:iCs w:val="false"/>
          <w:color w:val="000000"/>
        </w:rPr>
        <w:t xml:space="preserve"> ou autoridade superior e prestar todo esclarecimento ou informação por eles solicitados;</w:t>
      </w:r>
    </w:p>
    <w:p>
      <w:pPr>
        <w:pStyle w:val="Nivel3"/>
        <w:numPr>
          <w:ilvl w:val="2"/>
          <w:numId w:val="172"/>
        </w:numPr>
        <w:ind w:left="284" w:right="0" w:hanging="0"/>
        <w:rPr>
          <w:rFonts w:ascii="Calibri Light" w:hAnsi="Calibri Light"/>
        </w:rPr>
      </w:pPr>
      <w:r>
        <w:rPr>
          <w:rFonts w:ascii="Calibri Light" w:hAnsi="Calibri Light"/>
          <w:i w:val="false"/>
          <w:iCs w:val="false"/>
          <w:color w:val="000000"/>
        </w:rPr>
        <w:t>Reparar, corrigir, remover, reconstruir ou substituir, às suas expensas, no total ou em parte, no prazo fixado pelo fiscal</w:t>
      </w:r>
      <w:r>
        <w:rPr>
          <w:rFonts w:eastAsia="Arial" w:cs="Arial" w:ascii="Calibri Light" w:hAnsi="Calibri Light"/>
          <w:i w:val="false"/>
          <w:iCs w:val="false"/>
          <w:color w:val="000000"/>
          <w:szCs w:val="20"/>
        </w:rPr>
        <w:t xml:space="preserve"> contratual</w:t>
      </w:r>
      <w:r>
        <w:rPr>
          <w:rFonts w:ascii="Calibri Light" w:hAnsi="Calibri Light"/>
          <w:i w:val="false"/>
          <w:iCs w:val="false"/>
          <w:color w:val="000000"/>
        </w:rPr>
        <w:t xml:space="preserve">, os </w:t>
      </w:r>
      <w:r>
        <w:rPr>
          <w:rFonts w:eastAsia="Arial" w:cs="Arial" w:ascii="Calibri Light" w:hAnsi="Calibri Light"/>
          <w:i w:val="false"/>
          <w:iCs w:val="false"/>
          <w:color w:val="000000"/>
          <w:szCs w:val="20"/>
        </w:rPr>
        <w:t>bens</w:t>
      </w:r>
      <w:r>
        <w:rPr>
          <w:rFonts w:ascii="Calibri Light" w:hAnsi="Calibri Light"/>
          <w:i w:val="false"/>
          <w:iCs w:val="false"/>
          <w:color w:val="000000"/>
        </w:rPr>
        <w:t xml:space="preserve"> nos quais se verificarem vícios, defeitos ou incorreções resultantes da execução ou dos materiais empregados;</w:t>
      </w:r>
    </w:p>
    <w:p>
      <w:pPr>
        <w:pStyle w:val="Nivel3"/>
        <w:numPr>
          <w:ilvl w:val="2"/>
          <w:numId w:val="173"/>
        </w:numPr>
        <w:ind w:left="284" w:right="0" w:hanging="0"/>
        <w:rPr>
          <w:rFonts w:ascii="Calibri Light" w:hAnsi="Calibri Light"/>
        </w:rPr>
      </w:pPr>
      <w:r>
        <w:rPr>
          <w:rFonts w:ascii="Calibri Light" w:hAnsi="Calibri Light"/>
          <w:i w:val="false"/>
          <w:iCs w:val="false"/>
          <w:color w:val="00000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3"/>
        <w:numPr>
          <w:ilvl w:val="2"/>
          <w:numId w:val="174"/>
        </w:numPr>
        <w:ind w:left="284" w:right="0" w:hanging="0"/>
        <w:rPr>
          <w:rFonts w:ascii="Calibri Light" w:hAnsi="Calibri Light"/>
        </w:rPr>
      </w:pPr>
      <w:r>
        <w:rPr>
          <w:rFonts w:ascii="Calibri Light" w:hAnsi="Calibri Light"/>
          <w:i w:val="false"/>
          <w:iCs w:val="false"/>
          <w:color w:val="000000"/>
        </w:rPr>
        <w:t xml:space="preserve">Quando não for possível a verificação da regularidade no Sistema de Cadastro de Fornecedores – SICAF, o Contratado deverá entregar ao setor responsável pela fiscalização contratual, </w:t>
      </w:r>
      <w:r>
        <w:rPr>
          <w:rFonts w:eastAsia="MS Mincho" w:cs="Arial" w:ascii="Calibri Light" w:hAnsi="Calibri Light"/>
          <w:i w:val="false"/>
          <w:iCs w:val="false"/>
          <w:color w:val="000000"/>
          <w:szCs w:val="20"/>
        </w:rPr>
        <w:t>junto com a Nota Fiscal para fins de pagamento, os seguintes documentos:</w:t>
      </w:r>
    </w:p>
    <w:p>
      <w:pPr>
        <w:pStyle w:val="Nivel4"/>
        <w:numPr>
          <w:ilvl w:val="3"/>
          <w:numId w:val="175"/>
        </w:numPr>
        <w:ind w:left="567" w:right="0" w:hanging="0"/>
        <w:rPr>
          <w:rFonts w:ascii="Calibri Light" w:hAnsi="Calibri Light"/>
        </w:rPr>
      </w:pPr>
      <w:r>
        <w:rPr>
          <w:rFonts w:ascii="Calibri Light" w:hAnsi="Calibri Light"/>
          <w:i w:val="false"/>
          <w:iCs w:val="false"/>
          <w:color w:val="000000"/>
        </w:rPr>
        <w:t>prova de regularidade relativa à Seguridade Social;</w:t>
      </w:r>
    </w:p>
    <w:p>
      <w:pPr>
        <w:pStyle w:val="Nivel4"/>
        <w:numPr>
          <w:ilvl w:val="3"/>
          <w:numId w:val="176"/>
        </w:numPr>
        <w:ind w:left="567" w:right="0" w:hanging="0"/>
        <w:rPr>
          <w:rFonts w:ascii="Calibri Light" w:hAnsi="Calibri Light"/>
        </w:rPr>
      </w:pPr>
      <w:r>
        <w:rPr>
          <w:rFonts w:ascii="Calibri Light" w:hAnsi="Calibri Light"/>
          <w:i w:val="false"/>
          <w:iCs w:val="false"/>
          <w:color w:val="000000"/>
        </w:rPr>
        <w:t>certidão conjunta relativa aos tributos federais e à Dívida Ativa da União;</w:t>
      </w:r>
    </w:p>
    <w:p>
      <w:pPr>
        <w:pStyle w:val="Nivel4"/>
        <w:numPr>
          <w:ilvl w:val="3"/>
          <w:numId w:val="177"/>
        </w:numPr>
        <w:ind w:left="567" w:right="0" w:hanging="0"/>
        <w:rPr>
          <w:rFonts w:ascii="Calibri Light" w:hAnsi="Calibri Light"/>
        </w:rPr>
      </w:pPr>
      <w:r>
        <w:rPr>
          <w:rFonts w:eastAsia="MS Mincho" w:ascii="Calibri Light" w:hAnsi="Calibri Light"/>
          <w:i w:val="false"/>
          <w:iCs w:val="false"/>
          <w:color w:val="000000"/>
        </w:rPr>
        <w:t xml:space="preserve">certidões que comprovem a regularidade perante a Fazenda Estadual ou Distrital do domicílio ou sede do Contratado; </w:t>
      </w:r>
    </w:p>
    <w:p>
      <w:pPr>
        <w:pStyle w:val="Nivel4"/>
        <w:numPr>
          <w:ilvl w:val="3"/>
          <w:numId w:val="178"/>
        </w:numPr>
        <w:ind w:left="567" w:right="0" w:hanging="0"/>
        <w:rPr>
          <w:rFonts w:ascii="Calibri Light" w:hAnsi="Calibri Light"/>
        </w:rPr>
      </w:pPr>
      <w:r>
        <w:rPr>
          <w:rFonts w:ascii="Calibri Light" w:hAnsi="Calibri Light"/>
          <w:i w:val="false"/>
          <w:iCs w:val="false"/>
          <w:color w:val="000000"/>
        </w:rPr>
        <w:t>Certidão de Regularidade do FGTS – CRF; e</w:t>
      </w:r>
    </w:p>
    <w:p>
      <w:pPr>
        <w:pStyle w:val="Nivel4"/>
        <w:numPr>
          <w:ilvl w:val="3"/>
          <w:numId w:val="179"/>
        </w:numPr>
        <w:ind w:left="567" w:right="0" w:hanging="0"/>
        <w:rPr>
          <w:rFonts w:ascii="Calibri Light" w:hAnsi="Calibri Light"/>
        </w:rPr>
      </w:pPr>
      <w:r>
        <w:rPr>
          <w:rFonts w:ascii="Calibri Light" w:hAnsi="Calibri Light"/>
          <w:i w:val="false"/>
          <w:iCs w:val="false"/>
          <w:color w:val="000000"/>
        </w:rPr>
        <w:t xml:space="preserve">Certidão Negativa de Débitos Trabalhistas – CNDT; </w:t>
      </w:r>
    </w:p>
    <w:p>
      <w:pPr>
        <w:pStyle w:val="Nivel3"/>
        <w:numPr>
          <w:ilvl w:val="2"/>
          <w:numId w:val="180"/>
        </w:numPr>
        <w:ind w:left="284" w:right="0" w:hanging="0"/>
        <w:rPr>
          <w:rFonts w:ascii="Calibri Light" w:hAnsi="Calibri Light"/>
        </w:rPr>
      </w:pPr>
      <w:r>
        <w:rPr>
          <w:rFonts w:ascii="Calibri Light" w:hAnsi="Calibri Light"/>
          <w:i w:val="false"/>
          <w:iCs w:val="false"/>
          <w:color w:val="000000"/>
        </w:rPr>
        <w:t xml:space="preserve">Responsabilizar-se pelo cumprimento </w:t>
      </w:r>
      <w:r>
        <w:rPr>
          <w:rFonts w:eastAsia="MS Mincho" w:cs="Arial" w:ascii="Calibri Light" w:hAnsi="Calibri Light"/>
          <w:i w:val="false"/>
          <w:iCs w:val="false"/>
          <w:color w:val="000000"/>
          <w:szCs w:val="20"/>
        </w:rPr>
        <w:t>de</w:t>
      </w:r>
      <w:r>
        <w:rPr>
          <w:rFonts w:ascii="Calibri Light" w:hAnsi="Calibri Light"/>
          <w:i w:val="false"/>
          <w:iCs w:val="false"/>
          <w:color w:val="000000"/>
        </w:rPr>
        <w:t xml:space="preserve"> todas as obrigações trabalhistas, previdenciárias, </w:t>
      </w:r>
      <w:r>
        <w:rPr>
          <w:rFonts w:eastAsia="MS Mincho" w:cs="Arial" w:ascii="Calibri Light" w:hAnsi="Calibri Light"/>
          <w:i w:val="false"/>
          <w:iCs w:val="false"/>
          <w:color w:val="000000"/>
          <w:szCs w:val="20"/>
        </w:rPr>
        <w:t>fiscais, comerciais</w:t>
      </w:r>
      <w:r>
        <w:rPr>
          <w:rFonts w:ascii="Calibri Light" w:hAnsi="Calibri Light"/>
          <w:i w:val="false"/>
          <w:iCs w:val="false"/>
          <w:color w:val="000000"/>
        </w:rPr>
        <w:t xml:space="preserve"> e as demais previstas em legislação específica, cuja inadimplência não transfere a responsabilidade ao </w:t>
      </w:r>
      <w:r>
        <w:rPr>
          <w:rFonts w:eastAsia="MS Mincho" w:cs="Arial" w:ascii="Calibri Light" w:hAnsi="Calibri Light"/>
          <w:i w:val="false"/>
          <w:iCs w:val="false"/>
          <w:color w:val="000000"/>
          <w:szCs w:val="20"/>
        </w:rPr>
        <w:t>Contratante e não poderá onerar o objeto da contratação;</w:t>
      </w:r>
    </w:p>
    <w:p>
      <w:pPr>
        <w:pStyle w:val="Nivel3"/>
        <w:numPr>
          <w:ilvl w:val="2"/>
          <w:numId w:val="181"/>
        </w:numPr>
        <w:ind w:left="284" w:right="0" w:hanging="0"/>
        <w:rPr>
          <w:rFonts w:ascii="Calibri Light" w:hAnsi="Calibri Light"/>
        </w:rPr>
      </w:pPr>
      <w:r>
        <w:rPr>
          <w:rFonts w:ascii="Calibri Light" w:hAnsi="Calibri Light"/>
          <w:i w:val="false"/>
          <w:iCs w:val="false"/>
          <w:color w:val="000000"/>
        </w:rPr>
        <w:t xml:space="preserve">Comunicar ao Fiscal, no prazo de 24 (vinte e quatro) horas, qualquer ocorrência anormal ou acidente que se verifique no local </w:t>
      </w:r>
      <w:r>
        <w:rPr>
          <w:rFonts w:eastAsia="MS Mincho" w:cs="Arial" w:ascii="Calibri Light" w:hAnsi="Calibri Light"/>
          <w:i w:val="false"/>
          <w:iCs w:val="false"/>
          <w:color w:val="000000"/>
          <w:szCs w:val="20"/>
        </w:rPr>
        <w:t>da execução do objeto contratual</w:t>
      </w:r>
      <w:r>
        <w:rPr>
          <w:rFonts w:ascii="Calibri Light" w:hAnsi="Calibri Light"/>
          <w:i w:val="false"/>
          <w:iCs w:val="false"/>
          <w:color w:val="000000"/>
        </w:rPr>
        <w:t>.</w:t>
      </w:r>
    </w:p>
    <w:p>
      <w:pPr>
        <w:pStyle w:val="Nivel3"/>
        <w:numPr>
          <w:ilvl w:val="2"/>
          <w:numId w:val="182"/>
        </w:numPr>
        <w:ind w:left="284" w:right="0" w:hanging="0"/>
        <w:rPr>
          <w:rFonts w:ascii="Calibri Light" w:hAnsi="Calibri Light"/>
        </w:rPr>
      </w:pPr>
      <w:r>
        <w:rPr>
          <w:rFonts w:ascii="Calibri Light" w:hAnsi="Calibri Light"/>
          <w:i w:val="false"/>
          <w:iCs w:val="false"/>
          <w:color w:val="000000"/>
        </w:rPr>
        <w:t>Paralisar, por determinação do Contratante, qualquer atividade que não esteja sendo executada de acordo com a boa técnica ou que ponha em risco a segurança de pessoas ou bens de terceiros.</w:t>
      </w:r>
    </w:p>
    <w:p>
      <w:pPr>
        <w:pStyle w:val="Nivel3"/>
        <w:numPr>
          <w:ilvl w:val="2"/>
          <w:numId w:val="183"/>
        </w:numPr>
        <w:ind w:left="284" w:right="0" w:hanging="0"/>
        <w:rPr>
          <w:rFonts w:ascii="Calibri Light" w:hAnsi="Calibri Light"/>
        </w:rPr>
      </w:pPr>
      <w:r>
        <w:rPr>
          <w:rFonts w:ascii="Calibri Light" w:hAnsi="Calibri Light"/>
          <w:i w:val="false"/>
          <w:iCs w:val="false"/>
          <w:color w:val="000000"/>
        </w:rPr>
        <w:t xml:space="preserve">Manter, durante toda a vigência da contratação, em compatibilidade com as obrigações assumidas, todas as condições exigidas para habilitação na licitação ou para qualificação na contratação direta; </w:t>
      </w:r>
    </w:p>
    <w:p>
      <w:pPr>
        <w:pStyle w:val="Nivel3"/>
        <w:numPr>
          <w:ilvl w:val="2"/>
          <w:numId w:val="184"/>
        </w:numPr>
        <w:ind w:left="284" w:right="0" w:hanging="0"/>
        <w:rPr>
          <w:rFonts w:ascii="Calibri Light" w:hAnsi="Calibri Light"/>
        </w:rPr>
      </w:pPr>
      <w:r>
        <w:rPr>
          <w:rFonts w:ascii="Calibri Light" w:hAnsi="Calibri Light"/>
          <w:i w:val="false"/>
          <w:iCs w:val="false"/>
          <w:color w:val="000000"/>
        </w:rPr>
        <w:t>Cumprir, durante todo o período de execução contratual, a reserva de cargos prevista em lei para pessoa com deficiência, para reabilitado da Previdência Social ou para aprendiz, bem como as reservas de cargos previstas na legislação;</w:t>
      </w:r>
    </w:p>
    <w:p>
      <w:pPr>
        <w:pStyle w:val="Nivel3"/>
        <w:numPr>
          <w:ilvl w:val="2"/>
          <w:numId w:val="185"/>
        </w:numPr>
        <w:ind w:left="284" w:right="0" w:hanging="0"/>
        <w:rPr>
          <w:rFonts w:ascii="Calibri Light" w:hAnsi="Calibri Light"/>
        </w:rPr>
      </w:pPr>
      <w:r>
        <w:rPr>
          <w:rFonts w:ascii="Calibri Light" w:hAnsi="Calibri Light"/>
          <w:i w:val="false"/>
          <w:iCs w:val="false"/>
          <w:color w:val="000000"/>
        </w:rPr>
        <w:t>Comprovar a reserva de cargos a que se refere a cláusula acima, no prazo fixado pela fiscalização contratual, com a indicação dos empregados que preencheram as referidas vagas;</w:t>
      </w:r>
    </w:p>
    <w:p>
      <w:pPr>
        <w:pStyle w:val="Nivel3"/>
        <w:numPr>
          <w:ilvl w:val="2"/>
          <w:numId w:val="186"/>
        </w:numPr>
        <w:ind w:left="284" w:right="0" w:hanging="0"/>
        <w:rPr>
          <w:rFonts w:ascii="Calibri Light" w:hAnsi="Calibri Light"/>
        </w:rPr>
      </w:pPr>
      <w:r>
        <w:rPr>
          <w:rFonts w:ascii="Calibri Light" w:hAnsi="Calibri Light"/>
          <w:i w:val="false"/>
          <w:iCs w:val="false"/>
          <w:color w:val="000000"/>
        </w:rPr>
        <w:t>Guardar sigilo sobre todas as informações obtidas em decorrência da execução do objeto;</w:t>
      </w:r>
    </w:p>
    <w:p>
      <w:pPr>
        <w:pStyle w:val="Nivel3"/>
        <w:numPr>
          <w:ilvl w:val="2"/>
          <w:numId w:val="187"/>
        </w:numPr>
        <w:ind w:left="284" w:right="0" w:hanging="0"/>
        <w:rPr>
          <w:rFonts w:ascii="Calibri Light" w:hAnsi="Calibri Light"/>
        </w:rPr>
      </w:pPr>
      <w:r>
        <w:rPr>
          <w:rFonts w:ascii="Calibri Light" w:hAnsi="Calibri Light"/>
          <w:i w:val="false"/>
          <w:iCs w:val="false"/>
          <w:color w:val="00000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3"/>
        <w:numPr>
          <w:ilvl w:val="2"/>
          <w:numId w:val="188"/>
        </w:numPr>
        <w:ind w:left="284" w:right="0" w:hanging="0"/>
        <w:rPr>
          <w:rFonts w:ascii="Calibri Light" w:hAnsi="Calibri Light"/>
        </w:rPr>
      </w:pPr>
      <w:r>
        <w:rPr>
          <w:rFonts w:ascii="Calibri Light" w:hAnsi="Calibri Light"/>
          <w:i w:val="false"/>
          <w:iCs w:val="false"/>
          <w:color w:val="000000"/>
        </w:rPr>
        <w:t>Cumprir, além dos postulados legais vigentes de âmbito federal, estadual ou municipal, as normas de segurança do Contratante;</w:t>
      </w:r>
    </w:p>
    <w:p>
      <w:pPr>
        <w:pStyle w:val="Nvel3-Opcional"/>
        <w:numPr>
          <w:ilvl w:val="2"/>
          <w:numId w:val="189"/>
        </w:numPr>
        <w:ind w:left="284" w:right="0" w:hanging="0"/>
        <w:rPr>
          <w:rFonts w:ascii="Calibri Light" w:hAnsi="Calibri Light"/>
        </w:rPr>
      </w:pPr>
      <w:r>
        <w:rPr>
          <w:rFonts w:ascii="Calibri Light" w:hAnsi="Calibri Light"/>
          <w:i w:val="false"/>
          <w:iCs w:val="false"/>
          <w:color w:val="000000"/>
        </w:rPr>
        <w:t>Alocar os empregados necessários, com habilitação e conhecimento adequados, ao perfeito cumprimento das obrigações assumidas, fornecendo os materiais, equipamentos, ferramentas e utensílios demandados, cuja quantidade, qualidade e tecnologia deverão atender às recomendações de boa técnica e a legislação de regência;</w:t>
      </w:r>
    </w:p>
    <w:p>
      <w:pPr>
        <w:pStyle w:val="Nvel3-Opcional"/>
        <w:numPr>
          <w:ilvl w:val="2"/>
          <w:numId w:val="190"/>
        </w:numPr>
        <w:ind w:left="284" w:right="0" w:hanging="0"/>
        <w:rPr>
          <w:rFonts w:ascii="Calibri Light" w:hAnsi="Calibri Light"/>
        </w:rPr>
      </w:pPr>
      <w:r>
        <w:rPr>
          <w:rFonts w:ascii="Calibri Light" w:hAnsi="Calibri Light"/>
          <w:i w:val="false"/>
          <w:iCs w:val="false"/>
          <w:color w:val="000000"/>
        </w:rPr>
        <w:t>Orientar e treinar seus empregados sobre os deveres previstos na Lei nº 13.709, de 14 de agosto de 2018, adotando medidas eficazes para proteção de dados pessoais a que tenha acesso por força da execução contratual;</w:t>
      </w:r>
    </w:p>
    <w:p>
      <w:pPr>
        <w:pStyle w:val="Nvel3-Opcional"/>
        <w:numPr>
          <w:ilvl w:val="2"/>
          <w:numId w:val="191"/>
        </w:numPr>
        <w:ind w:left="284" w:right="0" w:hanging="0"/>
        <w:rPr>
          <w:rFonts w:ascii="Calibri Light" w:hAnsi="Calibri Light"/>
        </w:rPr>
      </w:pPr>
      <w:r>
        <w:rPr>
          <w:rFonts w:ascii="Calibri Light" w:hAnsi="Calibri Light"/>
          <w:i w:val="false"/>
          <w:iCs w:val="false"/>
          <w:color w:val="000000"/>
        </w:rPr>
        <w:t>Conduzir os trabalhos com estrita observância às normas da legislação pertinente, cumprindo as determinações dos Poderes Públicos, mantendo sempre limpo o local d</w:t>
      </w:r>
      <w:r>
        <w:rPr>
          <w:rFonts w:ascii="Calibri Light" w:hAnsi="Calibri Light"/>
          <w:i w:val="false"/>
          <w:iCs w:val="false"/>
          <w:color w:val="000000"/>
          <w:lang w:eastAsia="en-US"/>
        </w:rPr>
        <w:t>e execução do objeto</w:t>
      </w:r>
      <w:r>
        <w:rPr>
          <w:rFonts w:ascii="Calibri Light" w:hAnsi="Calibri Light"/>
          <w:i w:val="false"/>
          <w:iCs w:val="false"/>
          <w:color w:val="000000"/>
        </w:rPr>
        <w:t xml:space="preserve"> e nas melhores condições de segurança, higiene e disciplina.</w:t>
      </w:r>
    </w:p>
    <w:p>
      <w:pPr>
        <w:pStyle w:val="Nvel3-Opcional"/>
        <w:numPr>
          <w:ilvl w:val="2"/>
          <w:numId w:val="192"/>
        </w:numPr>
        <w:ind w:left="284" w:right="0" w:hanging="0"/>
        <w:rPr>
          <w:rFonts w:ascii="Calibri Light" w:hAnsi="Calibri Light"/>
        </w:rPr>
      </w:pPr>
      <w:r>
        <w:rPr>
          <w:rFonts w:ascii="Calibri Light" w:hAnsi="Calibri Light"/>
          <w:i w:val="false"/>
          <w:iCs w:val="false"/>
          <w:color w:val="000000"/>
        </w:rPr>
        <w:t xml:space="preserve">Submeter previamente, por escrito, ao Contratante, para análise e aprovação, quaisquer mudanças nos métodos executivos que fujam às especificações do memorial descritivo ou </w:t>
      </w:r>
      <w:bookmarkStart w:id="26" w:name="_Hlk167289448"/>
      <w:r>
        <w:rPr>
          <w:rFonts w:ascii="Calibri Light" w:hAnsi="Calibri Light"/>
          <w:i w:val="false"/>
          <w:iCs w:val="false"/>
          <w:color w:val="000000"/>
        </w:rPr>
        <w:t xml:space="preserve">instrumento </w:t>
      </w:r>
      <w:bookmarkEnd w:id="26"/>
      <w:r>
        <w:rPr>
          <w:rFonts w:ascii="Calibri Light" w:hAnsi="Calibri Light"/>
          <w:i w:val="false"/>
          <w:iCs w:val="false"/>
          <w:color w:val="000000"/>
        </w:rPr>
        <w:t>congênere.</w:t>
      </w:r>
    </w:p>
    <w:p>
      <w:pPr>
        <w:pStyle w:val="Nvel3-Opcional"/>
        <w:numPr>
          <w:ilvl w:val="2"/>
          <w:numId w:val="193"/>
        </w:numPr>
        <w:ind w:left="284" w:right="0" w:hanging="0"/>
        <w:rPr>
          <w:rFonts w:ascii="Calibri Light" w:hAnsi="Calibri Light"/>
        </w:rPr>
      </w:pPr>
      <w:r>
        <w:rPr>
          <w:rFonts w:ascii="Calibri Light" w:hAnsi="Calibri Light"/>
          <w:i w:val="false"/>
          <w:iCs w:val="false"/>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vel3-Opcional"/>
        <w:numPr>
          <w:ilvl w:val="2"/>
          <w:numId w:val="194"/>
        </w:numPr>
        <w:ind w:left="284" w:right="0" w:hanging="0"/>
        <w:rPr>
          <w:rFonts w:ascii="Calibri Light" w:hAnsi="Calibri Light"/>
        </w:rPr>
      </w:pPr>
      <w:r>
        <w:rPr>
          <w:rFonts w:ascii="Calibri Light" w:hAnsi="Calibri Light"/>
          <w:i w:val="false"/>
          <w:iCs w:val="false"/>
          <w:color w:val="000000"/>
        </w:rPr>
        <w:t>Cumprir as normas de proteção ao trabalho, inclusive aquelas relativas à segurança e à saúde no trabalho;</w:t>
      </w:r>
    </w:p>
    <w:p>
      <w:pPr>
        <w:pStyle w:val="Nvel3-Opcional"/>
        <w:numPr>
          <w:ilvl w:val="2"/>
          <w:numId w:val="195"/>
        </w:numPr>
        <w:ind w:left="284" w:right="0" w:hanging="0"/>
        <w:rPr>
          <w:rFonts w:ascii="Calibri Light" w:hAnsi="Calibri Light"/>
        </w:rPr>
      </w:pPr>
      <w:r>
        <w:rPr>
          <w:rFonts w:ascii="Calibri Light" w:hAnsi="Calibri Light"/>
          <w:i w:val="false"/>
          <w:iCs w:val="false"/>
          <w:color w:val="000000"/>
        </w:rPr>
        <w:t>Não submeter os trabalhadores a condições degradantes de trabalho, jornadas exaustivas, servidão por dívida ou trabalhos forçados;</w:t>
      </w:r>
    </w:p>
    <w:p>
      <w:pPr>
        <w:pStyle w:val="Nvel3-Opcional"/>
        <w:numPr>
          <w:ilvl w:val="2"/>
          <w:numId w:val="196"/>
        </w:numPr>
        <w:ind w:left="284" w:right="0" w:hanging="0"/>
        <w:rPr>
          <w:rFonts w:ascii="Calibri Light" w:hAnsi="Calibri Light"/>
        </w:rPr>
      </w:pPr>
      <w:r>
        <w:rPr>
          <w:rFonts w:ascii="Calibri Light" w:hAnsi="Calibri Light"/>
          <w:i w:val="false"/>
          <w:iCs w:val="false"/>
          <w:color w:val="000000"/>
        </w:rPr>
        <w:t>Não permitir a utilização de qualquer trabalho do menor de dezesseis anos de idade, exceto na condição de aprendiz para os maiores de quatorze anos de idade, observada a legislação pertinente;</w:t>
      </w:r>
    </w:p>
    <w:p>
      <w:pPr>
        <w:pStyle w:val="Nvel3-Opcional"/>
        <w:numPr>
          <w:ilvl w:val="2"/>
          <w:numId w:val="197"/>
        </w:numPr>
        <w:ind w:left="284" w:right="0" w:hanging="0"/>
        <w:rPr>
          <w:rFonts w:ascii="Calibri Light" w:hAnsi="Calibri Light"/>
        </w:rPr>
      </w:pPr>
      <w:r>
        <w:rPr>
          <w:rFonts w:ascii="Calibri Light" w:hAnsi="Calibri Light"/>
          <w:i w:val="false"/>
          <w:iCs w:val="false"/>
          <w:color w:val="00000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vel3-Opcional"/>
        <w:numPr>
          <w:ilvl w:val="2"/>
          <w:numId w:val="198"/>
        </w:numPr>
        <w:ind w:left="284" w:right="0" w:hanging="0"/>
        <w:rPr>
          <w:rFonts w:ascii="Calibri Light" w:hAnsi="Calibri Light"/>
        </w:rPr>
      </w:pPr>
      <w:r>
        <w:rPr>
          <w:rFonts w:ascii="Calibri Light" w:hAnsi="Calibri Light"/>
          <w:i w:val="false"/>
          <w:iCs w:val="false"/>
          <w:color w:val="000000"/>
        </w:rPr>
        <w:t>Receber e dar o tratamento adequado a denúncias de discriminação, violência e assédio no ambiente de trabalho.</w:t>
      </w:r>
    </w:p>
    <w:p>
      <w:pPr>
        <w:pStyle w:val="Nivel01"/>
        <w:numPr>
          <w:ilvl w:val="0"/>
          <w:numId w:val="11"/>
        </w:numPr>
        <w:ind w:left="357" w:right="0" w:hanging="357"/>
        <w:rPr>
          <w:rFonts w:ascii="Calibri Light" w:hAnsi="Calibri Light"/>
        </w:rPr>
      </w:pPr>
      <w:r>
        <w:rPr>
          <w:rFonts w:ascii="Calibri Light" w:hAnsi="Calibri Light"/>
          <w:i w:val="false"/>
          <w:iCs w:val="false"/>
          <w:color w:val="000000"/>
        </w:rPr>
        <w:t>DA EXTINÇÃO CONTRATUAL</w:t>
      </w:r>
    </w:p>
    <w:p>
      <w:pPr>
        <w:pStyle w:val="Nvel2-Opcional"/>
        <w:numPr>
          <w:ilvl w:val="1"/>
          <w:numId w:val="11"/>
        </w:numPr>
        <w:ind w:left="1709" w:right="0" w:hanging="432"/>
        <w:rPr>
          <w:rFonts w:ascii="Calibri Light" w:hAnsi="Calibri Light"/>
        </w:rPr>
      </w:pPr>
      <w:r>
        <w:rPr>
          <w:rFonts w:ascii="Calibri Light" w:hAnsi="Calibri Light"/>
          <w:i w:val="false"/>
          <w:iCs w:val="false"/>
          <w:color w:val="000000"/>
        </w:rPr>
        <w:t>A contratação será extinta quando cumpridas as obrigações de ambas as partes, ainda que isso ocorra antes do prazo estipulado para tanto.</w:t>
      </w:r>
    </w:p>
    <w:p>
      <w:pPr>
        <w:pStyle w:val="Nvel02"/>
        <w:numPr>
          <w:ilvl w:val="1"/>
          <w:numId w:val="11"/>
        </w:numPr>
        <w:ind w:left="0" w:right="0" w:hanging="0"/>
        <w:rPr>
          <w:rFonts w:ascii="Calibri Light" w:hAnsi="Calibri Light"/>
        </w:rPr>
      </w:pPr>
      <w:r>
        <w:rPr>
          <w:rFonts w:ascii="Calibri Light" w:hAnsi="Calibri Light"/>
          <w:i w:val="false"/>
          <w:iCs w:val="false"/>
          <w:color w:val="000000"/>
        </w:rPr>
        <w:t>A contratação poderá ser extinta antes de cumpridas as obrigações nela estipuladas, ou antes do prazo fixado, por algum dos motivos previstos no artigo 137 da Lei nº 14.133/21, bem como amigavelmente, assegurados o contraditório e a ampla defesa.</w:t>
      </w:r>
    </w:p>
    <w:p>
      <w:pPr>
        <w:pStyle w:val="Nivel3"/>
        <w:numPr>
          <w:ilvl w:val="2"/>
          <w:numId w:val="199"/>
        </w:numPr>
        <w:ind w:left="284" w:right="0" w:hanging="0"/>
        <w:rPr>
          <w:rFonts w:ascii="Calibri Light" w:hAnsi="Calibri Light"/>
        </w:rPr>
      </w:pPr>
      <w:r>
        <w:rPr>
          <w:rFonts w:ascii="Calibri Light" w:hAnsi="Calibri Light"/>
          <w:i w:val="false"/>
          <w:iCs w:val="false"/>
          <w:color w:val="000000"/>
        </w:rPr>
        <w:t>Nesta hipótese, aplicam-se também os artigos 138 e 139 da mesma Lei.</w:t>
      </w:r>
    </w:p>
    <w:p>
      <w:pPr>
        <w:pStyle w:val="Nivel3"/>
        <w:numPr>
          <w:ilvl w:val="2"/>
          <w:numId w:val="200"/>
        </w:numPr>
        <w:ind w:left="284" w:right="0" w:hanging="0"/>
        <w:rPr>
          <w:rFonts w:ascii="Calibri Light" w:hAnsi="Calibri Light"/>
        </w:rPr>
      </w:pPr>
      <w:r>
        <w:rPr>
          <w:rFonts w:ascii="Calibri Light" w:hAnsi="Calibri Light"/>
          <w:i w:val="false"/>
          <w:iCs w:val="false"/>
          <w:color w:val="000000"/>
        </w:rPr>
        <w:t>A alteração social ou a modificação da finalidade ou da estrutura da empresa não ensejará a extinção se não restringir sua capacidade de concluir o objeto.</w:t>
      </w:r>
    </w:p>
    <w:p>
      <w:pPr>
        <w:pStyle w:val="Nivel4"/>
        <w:numPr>
          <w:ilvl w:val="3"/>
          <w:numId w:val="201"/>
        </w:numPr>
        <w:ind w:left="567" w:right="0" w:hanging="0"/>
        <w:rPr>
          <w:rFonts w:ascii="Calibri Light" w:hAnsi="Calibri Light"/>
        </w:rPr>
      </w:pPr>
      <w:r>
        <w:rPr>
          <w:rFonts w:ascii="Calibri Light" w:hAnsi="Calibri Light"/>
          <w:i w:val="false"/>
          <w:iCs w:val="false"/>
          <w:color w:val="000000"/>
        </w:rPr>
        <w:t>Se a operação implicar mudança da pessoa jurídica contratada, deverá ser formalizado termo aditivo para alteração subjetiva.</w:t>
      </w:r>
    </w:p>
    <w:p>
      <w:pPr>
        <w:pStyle w:val="Nvel02"/>
        <w:numPr>
          <w:ilvl w:val="1"/>
          <w:numId w:val="11"/>
        </w:numPr>
        <w:ind w:left="0" w:right="0" w:hanging="0"/>
        <w:rPr>
          <w:rFonts w:ascii="Calibri Light" w:hAnsi="Calibri Light"/>
        </w:rPr>
      </w:pPr>
      <w:r>
        <w:rPr>
          <w:rFonts w:ascii="Calibri Light" w:hAnsi="Calibri Light"/>
          <w:i w:val="false"/>
          <w:iCs w:val="false"/>
          <w:color w:val="000000"/>
        </w:rPr>
        <w:t>O termo de extinção, sempre que possível, será precedido:</w:t>
      </w:r>
    </w:p>
    <w:p>
      <w:pPr>
        <w:pStyle w:val="Nivel3"/>
        <w:numPr>
          <w:ilvl w:val="2"/>
          <w:numId w:val="202"/>
        </w:numPr>
        <w:ind w:left="284" w:right="0" w:hanging="0"/>
        <w:rPr>
          <w:rFonts w:ascii="Calibri Light" w:hAnsi="Calibri Light"/>
        </w:rPr>
      </w:pPr>
      <w:r>
        <w:rPr>
          <w:rFonts w:ascii="Calibri Light" w:hAnsi="Calibri Light"/>
          <w:i w:val="false"/>
          <w:iCs w:val="false"/>
          <w:color w:val="000000"/>
        </w:rPr>
        <w:t>Balanço dos eventos contratuais já cumpridos ou parcialmente cumpridos;</w:t>
      </w:r>
    </w:p>
    <w:p>
      <w:pPr>
        <w:pStyle w:val="Nivel3"/>
        <w:numPr>
          <w:ilvl w:val="2"/>
          <w:numId w:val="203"/>
        </w:numPr>
        <w:ind w:left="284" w:right="0" w:hanging="0"/>
        <w:rPr>
          <w:rFonts w:ascii="Calibri Light" w:hAnsi="Calibri Light"/>
        </w:rPr>
      </w:pPr>
      <w:r>
        <w:rPr>
          <w:rFonts w:ascii="Calibri Light" w:hAnsi="Calibri Light"/>
          <w:i w:val="false"/>
          <w:iCs w:val="false"/>
          <w:color w:val="000000"/>
        </w:rPr>
        <w:t>Relação dos pagamentos já efetuados e ainda devidos;</w:t>
      </w:r>
    </w:p>
    <w:p>
      <w:pPr>
        <w:pStyle w:val="Nivel3"/>
        <w:numPr>
          <w:ilvl w:val="2"/>
          <w:numId w:val="204"/>
        </w:numPr>
        <w:ind w:left="284" w:right="0" w:hanging="0"/>
        <w:rPr>
          <w:rFonts w:ascii="Calibri Light" w:hAnsi="Calibri Light"/>
        </w:rPr>
      </w:pPr>
      <w:r>
        <w:rPr>
          <w:rFonts w:ascii="Calibri Light" w:hAnsi="Calibri Light"/>
          <w:i w:val="false"/>
          <w:iCs w:val="false"/>
          <w:color w:val="000000"/>
        </w:rPr>
        <w:t>Indenizações e multas.</w:t>
      </w:r>
    </w:p>
    <w:p>
      <w:pPr>
        <w:pStyle w:val="Nvel02"/>
        <w:numPr>
          <w:ilvl w:val="1"/>
          <w:numId w:val="11"/>
        </w:numPr>
        <w:ind w:left="0" w:right="0" w:hanging="0"/>
        <w:rPr>
          <w:rFonts w:ascii="Calibri Light" w:hAnsi="Calibri Light"/>
        </w:rPr>
      </w:pPr>
      <w:r>
        <w:rPr>
          <w:rFonts w:ascii="Calibri Light" w:hAnsi="Calibri Light"/>
          <w:i w:val="false"/>
          <w:iCs w:val="false"/>
          <w:color w:val="000000"/>
        </w:rPr>
        <w:t>A extinção contratual não configura óbice para o reconhecimento do desequilíbrio econômico-financeiro, hipótese em que será concedida indenização por meio de termo indenizatório.</w:t>
      </w:r>
    </w:p>
    <w:p>
      <w:pPr>
        <w:pStyle w:val="Nvel02"/>
        <w:numPr>
          <w:ilvl w:val="1"/>
          <w:numId w:val="11"/>
        </w:numPr>
        <w:ind w:left="0" w:right="0" w:hanging="0"/>
        <w:rPr>
          <w:rFonts w:ascii="Calibri Light" w:hAnsi="Calibri Light"/>
        </w:rPr>
      </w:pPr>
      <w:r>
        <w:rPr>
          <w:rFonts w:ascii="Calibri Light" w:hAnsi="Calibri Light"/>
          <w:i w:val="false"/>
          <w:iCs w:val="false"/>
          <w:color w:val="000000"/>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pPr>
        <w:pStyle w:val="Nivel01"/>
        <w:numPr>
          <w:ilvl w:val="0"/>
          <w:numId w:val="11"/>
        </w:numPr>
        <w:ind w:left="357" w:right="0" w:hanging="357"/>
        <w:rPr>
          <w:rFonts w:ascii="Calibri Light" w:hAnsi="Calibri Light"/>
        </w:rPr>
      </w:pPr>
      <w:r>
        <w:rPr>
          <w:rFonts w:ascii="Calibri Light" w:hAnsi="Calibri Light"/>
          <w:i w:val="false"/>
          <w:iCs w:val="false"/>
          <w:color w:val="000000"/>
        </w:rPr>
        <w:t>DOS CASOS OMISSOS</w:t>
      </w:r>
    </w:p>
    <w:p>
      <w:pPr>
        <w:pStyle w:val="Nvel02"/>
        <w:numPr>
          <w:ilvl w:val="1"/>
          <w:numId w:val="11"/>
        </w:numPr>
        <w:ind w:left="0" w:right="0" w:hanging="0"/>
        <w:rPr/>
      </w:pPr>
      <w:r>
        <w:rPr>
          <w:rFonts w:ascii="Calibri Light" w:hAnsi="Calibri Light"/>
          <w:i w:val="false"/>
          <w:iCs w:val="false"/>
          <w:color w:val="000000"/>
        </w:rPr>
        <w:t xml:space="preserve">Os casos omissos serão decididos pelo Contratante, segundo as disposições contidas na Lei nº 14.133, de 2021, e demais normas federais aplicáveis e, subsidiariamente, segundo as disposições contidas na </w:t>
      </w:r>
      <w:hyperlink r:id="rId4">
        <w:r>
          <w:rPr>
            <w:rFonts w:ascii="Calibri Light" w:hAnsi="Calibri Light"/>
            <w:i w:val="false"/>
            <w:iCs w:val="false"/>
            <w:color w:val="000000"/>
          </w:rPr>
          <w:t>Lei nº 8.078, de 1990 – Código de Defesa do Consumidor</w:t>
        </w:r>
      </w:hyperlink>
      <w:r>
        <w:rPr>
          <w:rFonts w:ascii="Calibri Light" w:hAnsi="Calibri Light"/>
          <w:i w:val="false"/>
          <w:iCs w:val="false"/>
          <w:color w:val="000000"/>
        </w:rPr>
        <w:t xml:space="preserve"> – e normas e princípios gerais dos contratos.</w:t>
      </w:r>
    </w:p>
    <w:p>
      <w:pPr>
        <w:pStyle w:val="Nivel01"/>
        <w:numPr>
          <w:ilvl w:val="0"/>
          <w:numId w:val="11"/>
        </w:numPr>
        <w:ind w:left="357" w:right="0" w:hanging="357"/>
        <w:rPr>
          <w:rFonts w:ascii="Calibri Light" w:hAnsi="Calibri Light"/>
        </w:rPr>
      </w:pPr>
      <w:r>
        <w:rPr>
          <w:rFonts w:ascii="Calibri Light" w:hAnsi="Calibri Light"/>
          <w:i w:val="false"/>
          <w:iCs w:val="false"/>
          <w:color w:val="000000"/>
        </w:rPr>
        <w:t>ALTERAÇÕES</w:t>
      </w:r>
    </w:p>
    <w:p>
      <w:pPr>
        <w:pStyle w:val="Nvel02"/>
        <w:numPr>
          <w:ilvl w:val="1"/>
          <w:numId w:val="11"/>
        </w:numPr>
        <w:ind w:left="0" w:right="0" w:hanging="0"/>
        <w:rPr>
          <w:rFonts w:ascii="Calibri Light" w:hAnsi="Calibri Light"/>
        </w:rPr>
      </w:pPr>
      <w:r>
        <w:rPr>
          <w:rFonts w:ascii="Calibri Light" w:hAnsi="Calibri Light"/>
          <w:i w:val="false"/>
          <w:iCs w:val="false"/>
          <w:color w:val="000000"/>
        </w:rPr>
        <w:t>Eventuais alterações contratuais reger-se-ão pela disciplina dos arts. 124 e seguintes da Lei nº 14.133, de 2021.</w:t>
      </w:r>
    </w:p>
    <w:p>
      <w:pPr>
        <w:pStyle w:val="Nvel02"/>
        <w:numPr>
          <w:ilvl w:val="1"/>
          <w:numId w:val="11"/>
        </w:numPr>
        <w:ind w:left="0" w:right="0" w:hanging="0"/>
        <w:rPr>
          <w:rFonts w:ascii="Calibri Light" w:hAnsi="Calibri Light"/>
        </w:rPr>
      </w:pPr>
      <w:r>
        <w:rPr>
          <w:rFonts w:ascii="Calibri Light" w:hAnsi="Calibri Light"/>
          <w:i w:val="false"/>
          <w:iCs w:val="false"/>
          <w:color w:val="000000"/>
        </w:rPr>
        <w:t>O Contratado é obrigado a aceitar, nas mesmas condições contratuais, os acréscimos ou supressões que se fizerem necessários, até o limite de 25% (vinte e cinco por cento) do valor inicial atualizado da contratação.</w:t>
      </w:r>
    </w:p>
    <w:p>
      <w:pPr>
        <w:pStyle w:val="Nvel02"/>
        <w:numPr>
          <w:ilvl w:val="1"/>
          <w:numId w:val="11"/>
        </w:numPr>
        <w:ind w:left="0" w:right="0" w:hanging="0"/>
        <w:rPr>
          <w:rFonts w:ascii="Calibri Light" w:hAnsi="Calibri Light"/>
        </w:rPr>
      </w:pPr>
      <w:r>
        <w:rPr>
          <w:rFonts w:ascii="Calibri Light" w:hAnsi="Calibri Light"/>
          <w:i w:val="false"/>
          <w:iCs w:val="false"/>
          <w:color w:val="000000"/>
        </w:rPr>
        <w:t>As supressões resultantes de acordo celebrado entre as partes contratantes poderão exceder o limite de 25% (vinte e cinco por cento) do valor inicial atualizado do contrato.</w:t>
      </w:r>
    </w:p>
    <w:p>
      <w:pPr>
        <w:pStyle w:val="Nvel02"/>
        <w:numPr>
          <w:ilvl w:val="1"/>
          <w:numId w:val="11"/>
        </w:numPr>
        <w:ind w:left="0" w:right="0" w:hanging="0"/>
        <w:rPr>
          <w:rFonts w:ascii="Calibri Light" w:hAnsi="Calibri Light"/>
        </w:rPr>
      </w:pPr>
      <w:r>
        <w:rPr>
          <w:rFonts w:ascii="Calibri Light" w:hAnsi="Calibri Light"/>
          <w:i w:val="false"/>
          <w:iCs w:val="false"/>
          <w:color w:val="00000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vel02"/>
        <w:numPr>
          <w:ilvl w:val="1"/>
          <w:numId w:val="11"/>
        </w:numPr>
        <w:ind w:left="0" w:right="0" w:hanging="0"/>
        <w:rPr>
          <w:rFonts w:ascii="Calibri Light" w:hAnsi="Calibri Light"/>
        </w:rPr>
      </w:pPr>
      <w:r>
        <w:rPr>
          <w:rFonts w:ascii="Calibri Light" w:hAnsi="Calibri Light"/>
          <w:i w:val="false"/>
          <w:iCs w:val="false"/>
          <w:color w:val="000000"/>
        </w:rPr>
        <w:t>Registros que não caracterizam alterações contratuais podem ser realizados por simples apostila, dispensada a celebração de termo aditivo, na forma do art. 136 da Lei nº 14.133, de 2021.</w:t>
      </w:r>
    </w:p>
    <w:p>
      <w:pPr>
        <w:pStyle w:val="Nivel01"/>
        <w:numPr>
          <w:ilvl w:val="0"/>
          <w:numId w:val="11"/>
        </w:numPr>
        <w:ind w:left="357" w:right="0" w:hanging="357"/>
        <w:rPr>
          <w:rFonts w:ascii="Calibri Light" w:hAnsi="Calibri Light"/>
        </w:rPr>
      </w:pPr>
      <w:r>
        <w:rPr>
          <w:rFonts w:ascii="Calibri Light" w:hAnsi="Calibri Light"/>
          <w:i w:val="false"/>
          <w:iCs w:val="false"/>
          <w:color w:val="000000"/>
        </w:rPr>
        <w:t>FORO</w:t>
      </w:r>
    </w:p>
    <w:p>
      <w:pPr>
        <w:pStyle w:val="Nvel02"/>
        <w:numPr>
          <w:ilvl w:val="1"/>
          <w:numId w:val="11"/>
        </w:numPr>
        <w:ind w:left="0" w:right="0" w:hanging="0"/>
        <w:rPr>
          <w:rFonts w:ascii="Calibri Light" w:hAnsi="Calibri Light"/>
        </w:rPr>
      </w:pPr>
      <w:r>
        <w:rPr>
          <w:rFonts w:ascii="Calibri Light" w:hAnsi="Calibri Light"/>
          <w:i w:val="false"/>
          <w:iCs w:val="false"/>
          <w:color w:val="000000"/>
        </w:rPr>
        <w:t>Fica definido o Foro da Justiça Federal em Tucuruí-PA, Seção Judiciária de Tucuruí-PA para dirimir os litígios que decorrerem da execução contratual que não puderem ser compostos pela conciliação, conforme art. 92, §1º, da Lei nº 14.133, de 2021.</w:t>
      </w:r>
    </w:p>
    <w:p>
      <w:pPr>
        <w:pStyle w:val="Normal"/>
        <w:rPr>
          <w:rFonts w:ascii="Calibri Light" w:hAnsi="Calibri Light" w:eastAsia="Times New Roman" w:cs="Arial"/>
          <w:i w:val="false"/>
          <w:i w:val="false"/>
          <w:iCs w:val="false"/>
          <w:color w:val="000000"/>
          <w:sz w:val="20"/>
          <w:szCs w:val="20"/>
          <w:u w:val="single"/>
        </w:rPr>
      </w:pPr>
      <w:r>
        <w:rPr>
          <w:rFonts w:eastAsia="Times New Roman" w:cs="Arial" w:ascii="Calibri Light" w:hAnsi="Calibri Light"/>
          <w:i w:val="false"/>
          <w:iCs w:val="false"/>
          <w:color w:val="000000"/>
          <w:sz w:val="20"/>
          <w:szCs w:val="20"/>
          <w:u w:val="single"/>
        </w:rPr>
      </w:r>
      <w:r>
        <w:br w:type="page"/>
      </w:r>
    </w:p>
    <w:p>
      <w:pPr>
        <w:pStyle w:val="Normal"/>
        <w:numPr>
          <w:ilvl w:val="0"/>
          <w:numId w:val="0"/>
        </w:numPr>
        <w:ind w:left="0" w:hanging="0"/>
        <w:jc w:val="center"/>
        <w:outlineLvl w:val="0"/>
        <w:rPr>
          <w:rFonts w:ascii="Calibri Light" w:hAnsi="Calibri Light"/>
        </w:rPr>
      </w:pPr>
      <w:r>
        <w:rPr>
          <w:rFonts w:cs="Arial" w:ascii="Calibri Light" w:hAnsi="Calibri Light"/>
          <w:b/>
          <w:i w:val="false"/>
          <w:iCs w:val="false"/>
          <w:color w:val="000000"/>
          <w:sz w:val="20"/>
          <w:szCs w:val="20"/>
        </w:rPr>
        <w:t>ANEXO II</w:t>
      </w:r>
    </w:p>
    <w:p>
      <w:pPr>
        <w:pStyle w:val="Normal"/>
        <w:spacing w:before="0" w:after="360"/>
        <w:jc w:val="center"/>
        <w:rPr>
          <w:rFonts w:ascii="Calibri Light" w:hAnsi="Calibri Light"/>
        </w:rPr>
      </w:pPr>
      <w:r>
        <w:rPr>
          <w:rFonts w:cs="Arial" w:ascii="Calibri Light" w:hAnsi="Calibri Light"/>
          <w:b/>
          <w:i w:val="false"/>
          <w:iCs w:val="false"/>
          <w:color w:val="000000"/>
          <w:sz w:val="20"/>
          <w:szCs w:val="20"/>
        </w:rPr>
        <w:t>TERMO DE CIÊNCIA E CONCORDÂNCIA</w:t>
      </w:r>
    </w:p>
    <w:p>
      <w:pPr>
        <w:pStyle w:val="Normal"/>
        <w:spacing w:lineRule="auto" w:line="276" w:before="120" w:after="120"/>
        <w:ind w:left="0" w:right="0" w:firstLine="1134"/>
        <w:jc w:val="both"/>
        <w:rPr>
          <w:rFonts w:ascii="Calibri Light" w:hAnsi="Calibri Light"/>
        </w:rPr>
      </w:pPr>
      <w:r>
        <w:rPr>
          <w:rFonts w:cs="Arial" w:ascii="Calibri Light" w:hAnsi="Calibri Light"/>
          <w:i w:val="false"/>
          <w:iCs w:val="false"/>
          <w:color w:val="000000"/>
          <w:sz w:val="20"/>
          <w:szCs w:val="20"/>
        </w:rPr>
        <w:t xml:space="preserve">Por meio deste instrumento, ..................... (identificar o Contratado) declara que está ciente e concorda com as disposições e obrigações previstas no Edital </w:t>
      </w:r>
      <w:r>
        <w:rPr>
          <w:rFonts w:cs="Arial" w:ascii="Calibri Light" w:hAnsi="Calibri Light"/>
          <w:b/>
          <w:bCs/>
          <w:i w:val="false"/>
          <w:iCs w:val="false"/>
          <w:color w:val="000000"/>
          <w:sz w:val="20"/>
          <w:szCs w:val="20"/>
          <w:u w:val="single"/>
        </w:rPr>
        <w:t xml:space="preserve">OU </w:t>
      </w:r>
      <w:r>
        <w:rPr>
          <w:rFonts w:cs="Arial" w:ascii="Calibri Light" w:hAnsi="Calibri Light"/>
          <w:i w:val="false"/>
          <w:iCs w:val="false"/>
          <w:color w:val="000000"/>
          <w:sz w:val="20"/>
          <w:szCs w:val="20"/>
        </w:rPr>
        <w:t>Aviso de Contratação Direta, no Termo de Referência e nos demais anexos a que se refere o Pregão/Concorrência/Dispensa Eletrônica nº.........../20......., bem como que se responsabiliza, sob as penas da Lei, pela veracidade e legitimidade das informações e documentos apresentados durante o processo de contratação.</w:t>
      </w:r>
    </w:p>
    <w:p>
      <w:pPr>
        <w:pStyle w:val="Normal"/>
        <w:spacing w:before="360" w:after="0"/>
        <w:jc w:val="center"/>
        <w:rPr>
          <w:rFonts w:ascii="Calibri Light" w:hAnsi="Calibri Light"/>
        </w:rPr>
      </w:pPr>
      <w:r>
        <w:rPr>
          <w:rFonts w:cs="Arial" w:ascii="Calibri Light" w:hAnsi="Calibri Light"/>
          <w:i w:val="false"/>
          <w:iCs w:val="false"/>
          <w:color w:val="000000"/>
          <w:sz w:val="20"/>
          <w:szCs w:val="20"/>
        </w:rPr>
        <w:t>Local-UF, ........ de ................... de 20.... .</w:t>
      </w:r>
    </w:p>
    <w:p>
      <w:pPr>
        <w:pStyle w:val="Normal"/>
        <w:spacing w:before="480" w:after="0"/>
        <w:jc w:val="center"/>
        <w:rPr>
          <w:rFonts w:ascii="Calibri Light" w:hAnsi="Calibri Light"/>
        </w:rPr>
      </w:pPr>
      <w:r>
        <w:rPr>
          <w:rFonts w:cs="Arial" w:ascii="Calibri Light" w:hAnsi="Calibri Light"/>
          <w:i w:val="false"/>
          <w:iCs w:val="false"/>
          <w:color w:val="000000"/>
          <w:sz w:val="20"/>
          <w:szCs w:val="20"/>
        </w:rPr>
        <w:t>__________________________________________</w:t>
      </w:r>
    </w:p>
    <w:p>
      <w:pPr>
        <w:pStyle w:val="Normal"/>
        <w:jc w:val="center"/>
        <w:rPr>
          <w:rFonts w:ascii="Calibri Light" w:hAnsi="Calibri Light"/>
        </w:rPr>
      </w:pPr>
      <w:r>
        <w:rPr>
          <w:rFonts w:cs="Arial" w:ascii="Calibri Light" w:hAnsi="Calibri Light"/>
          <w:i w:val="false"/>
          <w:iCs w:val="false"/>
          <w:color w:val="000000"/>
          <w:sz w:val="20"/>
          <w:szCs w:val="20"/>
        </w:rPr>
        <w:t xml:space="preserve">(Nome </w:t>
      </w:r>
      <w:r>
        <w:rPr>
          <w:rFonts w:ascii="Calibri Light" w:hAnsi="Calibri Light"/>
          <w:i w:val="false"/>
          <w:iCs w:val="false"/>
          <w:color w:val="000000"/>
          <w:sz w:val="20"/>
        </w:rPr>
        <w:t>e Cargo do Representante Legal</w:t>
      </w:r>
      <w:r>
        <w:rPr>
          <w:rFonts w:cs="Arial" w:ascii="Calibri Light" w:hAnsi="Calibri Light"/>
          <w:i w:val="false"/>
          <w:iCs w:val="false"/>
          <w:color w:val="000000"/>
          <w:sz w:val="20"/>
          <w:szCs w:val="20"/>
        </w:rPr>
        <w:t>)</w:t>
      </w:r>
    </w:p>
    <w:sectPr>
      <w:headerReference w:type="default" r:id="rId5"/>
      <w:footerReference w:type="default" r:id="rId6"/>
      <w:type w:val="nextPage"/>
      <w:pgSz w:w="11906" w:h="16838"/>
      <w:pgMar w:left="1134" w:right="1134" w:gutter="0" w:header="1418" w:top="1694"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Arial">
    <w:charset w:val="00"/>
    <w:family w:val="roman"/>
    <w:pitch w:val="variable"/>
  </w:font>
  <w:font w:name="Calibri">
    <w:charset w:val="00"/>
    <w:family w:val="roman"/>
    <w:pitch w:val="variable"/>
  </w:font>
  <w:font w:name="Tahoma">
    <w:charset w:val="00"/>
    <w:family w:val="roman"/>
    <w:pitch w:val="variable"/>
  </w:font>
  <w:font w:name="Segoe U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Calibri Ligh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color w:val="548DD4"/>
        <w:spacing w:val="60"/>
        <w:sz w:val="16"/>
        <w:szCs w:val="16"/>
      </w:rPr>
    </w:pPr>
    <w:r>
      <w:rPr>
        <w:color w:val="548DD4"/>
        <w:spacing w:val="60"/>
        <w:sz w:val="22"/>
        <w:szCs w:val="22"/>
      </w:rPr>
      <w:tab/>
      <w:tab/>
    </w:r>
  </w:p>
  <w:p>
    <w:pPr>
      <w:pStyle w:val="Rodap"/>
      <w:rPr>
        <w:rFonts w:ascii="Arial" w:hAnsi="Arial"/>
        <w:color w:val="7F7F7F"/>
        <w:sz w:val="18"/>
      </w:rPr>
    </w:pPr>
    <w:r>
      <w:rPr>
        <w:color w:val="7F7F7F"/>
        <w:spacing w:val="60"/>
        <w:sz w:val="22"/>
        <w:szCs w:val="22"/>
      </w:rPr>
      <w:tab/>
      <w:tab/>
    </w:r>
    <w:r>
      <w:rPr>
        <w:rFonts w:ascii="Arial" w:hAnsi="Arial"/>
        <w:color w:val="595959"/>
        <w:spacing w:val="60"/>
        <w:sz w:val="18"/>
      </w:rPr>
      <w:t>Página</w:t>
    </w:r>
    <w:r>
      <w:rPr>
        <w:rFonts w:ascii="Arial" w:hAnsi="Arial"/>
        <w:color w:val="595959"/>
        <w:sz w:val="18"/>
      </w:rPr>
      <w:t xml:space="preserve"> </w:t>
    </w:r>
    <w:r>
      <w:rPr>
        <w:rFonts w:ascii="Arial" w:hAnsi="Arial"/>
        <w:color w:val="595959"/>
        <w:sz w:val="18"/>
      </w:rPr>
      <w:fldChar w:fldCharType="begin"/>
    </w:r>
    <w:r>
      <w:rPr>
        <w:sz w:val="18"/>
        <w:rFonts w:ascii="Arial" w:hAnsi="Arial"/>
        <w:color w:val="595959"/>
      </w:rPr>
      <w:instrText xml:space="preserve"> PAGE </w:instrText>
    </w:r>
    <w:r>
      <w:rPr>
        <w:sz w:val="18"/>
        <w:rFonts w:ascii="Arial" w:hAnsi="Arial"/>
        <w:color w:val="595959"/>
      </w:rPr>
      <w:fldChar w:fldCharType="separate"/>
    </w:r>
    <w:r>
      <w:rPr>
        <w:sz w:val="18"/>
        <w:rFonts w:ascii="Arial" w:hAnsi="Arial"/>
        <w:color w:val="595959"/>
      </w:rPr>
      <w:t>12</w:t>
    </w:r>
    <w:r>
      <w:rPr>
        <w:sz w:val="18"/>
        <w:rFonts w:ascii="Arial" w:hAnsi="Arial"/>
        <w:color w:val="595959"/>
      </w:rPr>
      <w:fldChar w:fldCharType="end"/>
    </w:r>
    <w:r>
      <w:rPr>
        <w:rFonts w:ascii="Arial" w:hAnsi="Arial"/>
        <w:color w:val="595959"/>
        <w:sz w:val="18"/>
      </w:rPr>
      <w:t xml:space="preserve"> | </w:t>
    </w:r>
    <w:r>
      <w:rPr>
        <w:rFonts w:ascii="Arial" w:hAnsi="Arial"/>
        <w:color w:val="595959"/>
        <w:sz w:val="18"/>
      </w:rPr>
      <w:fldChar w:fldCharType="begin"/>
    </w:r>
    <w:r>
      <w:rPr>
        <w:sz w:val="18"/>
        <w:rFonts w:ascii="Arial" w:hAnsi="Arial"/>
        <w:color w:val="595959"/>
      </w:rPr>
      <w:instrText xml:space="preserve"> NUMPAGES </w:instrText>
    </w:r>
    <w:r>
      <w:rPr>
        <w:sz w:val="18"/>
        <w:rFonts w:ascii="Arial" w:hAnsi="Arial"/>
        <w:color w:val="595959"/>
      </w:rPr>
      <w:fldChar w:fldCharType="separate"/>
    </w:r>
    <w:r>
      <w:rPr>
        <w:sz w:val="18"/>
        <w:rFonts w:ascii="Arial" w:hAnsi="Arial"/>
        <w:color w:val="595959"/>
      </w:rPr>
      <w:t>49</w:t>
    </w:r>
    <w:r>
      <w:rPr>
        <w:sz w:val="18"/>
        <w:rFonts w:ascii="Arial" w:hAnsi="Arial"/>
        <w:color w:val="595959"/>
      </w:rPr>
      <w:fldChar w:fldCharType="end"/>
    </w:r>
  </w:p>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0F243E"/>
        <w:sz w:val="14"/>
      </w:rPr>
    </w:pPr>
    <w:r>
      <w:rPr>
        <w:rFonts w:cs="Arial" w:ascii="Arial" w:hAnsi="Arial"/>
        <w:sz w:val="14"/>
        <w:szCs w:val="14"/>
      </w:rPr>
      <w:t xml:space="preserve">Modelo de </w:t>
    </w:r>
    <w:r>
      <w:rPr>
        <w:rFonts w:ascii="Arial" w:hAnsi="Arial"/>
        <w:sz w:val="14"/>
      </w:rPr>
      <w:t xml:space="preserve">Termo de Referência – Aquisições </w:t>
    </w:r>
    <w:r>
      <w:rPr>
        <w:rFonts w:cs="Arial" w:ascii="Arial" w:hAnsi="Arial"/>
        <w:sz w:val="14"/>
        <w:szCs w:val="14"/>
      </w:rPr>
      <w:t>– Licitação e Contratação Direta - Lei nº 14.133, de 2021</w:t>
    </w:r>
  </w:p>
  <w:p>
    <w:pPr>
      <w:pStyle w:val="Rodap"/>
      <w:rPr>
        <w:rFonts w:ascii="Arial" w:hAnsi="Arial"/>
        <w:sz w:val="14"/>
      </w:rPr>
    </w:pPr>
    <w:r>
      <w:rPr>
        <w:rFonts w:ascii="Arial" w:hAnsi="Arial"/>
        <w:sz w:val="14"/>
      </w:rPr>
      <w:t>Aprovado pela Secretaria de Gestão</w:t>
    </w:r>
    <w:r>
      <w:rPr>
        <w:rFonts w:cs="Arial" w:ascii="Arial" w:hAnsi="Arial"/>
        <w:sz w:val="14"/>
        <w:szCs w:val="14"/>
      </w:rPr>
      <w:t xml:space="preserve"> e Inovação</w:t>
    </w:r>
  </w:p>
  <w:p>
    <w:pPr>
      <w:pStyle w:val="Rodap"/>
      <w:rPr>
        <w:rFonts w:ascii="Arial" w:hAnsi="Arial"/>
        <w:sz w:val="14"/>
      </w:rPr>
    </w:pPr>
    <w:r>
      <w:rPr>
        <w:rFonts w:ascii="Arial" w:hAnsi="Arial"/>
        <w:sz w:val="14"/>
      </w:rPr>
      <w:t xml:space="preserve">Identidade visual pela Secretaria de Gestão </w:t>
    </w:r>
    <w:r>
      <w:rPr>
        <w:rFonts w:cs="Arial" w:ascii="Arial" w:hAnsi="Arial"/>
        <w:sz w:val="14"/>
        <w:szCs w:val="14"/>
      </w:rPr>
      <w:t>e Inovação</w:t>
    </w:r>
  </w:p>
  <w:p>
    <w:pPr>
      <w:pStyle w:val="Rodap"/>
      <w:rPr>
        <w:rFonts w:ascii="Arial" w:hAnsi="Arial"/>
        <w:sz w:val="14"/>
      </w:rPr>
    </w:pPr>
    <w:r>
      <w:rPr>
        <w:rFonts w:cs="Arial" w:ascii="Arial" w:hAnsi="Arial"/>
        <w:sz w:val="14"/>
        <w:szCs w:val="14"/>
      </w:rPr>
      <w:t>Atualização: ABR/2025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upperRoman"/>
      <w:lvlText w:val="%1)"/>
      <w:lvlJc w:val="left"/>
      <w:pPr>
        <w:tabs>
          <w:tab w:val="num" w:pos="0"/>
        </w:tabs>
        <w:ind w:left="3555" w:hanging="720"/>
      </w:pPr>
      <w:rPr/>
    </w:lvl>
    <w:lvl w:ilvl="1">
      <w:start w:val="1"/>
      <w:numFmt w:val="lowerLetter"/>
      <w:lvlText w:val="%2."/>
      <w:lvlJc w:val="left"/>
      <w:pPr>
        <w:tabs>
          <w:tab w:val="num" w:pos="0"/>
        </w:tabs>
        <w:ind w:left="3915" w:hanging="360"/>
      </w:pPr>
      <w:rPr/>
    </w:lvl>
    <w:lvl w:ilvl="2">
      <w:start w:val="1"/>
      <w:numFmt w:val="lowerRoman"/>
      <w:lvlText w:val="%3."/>
      <w:lvlJc w:val="right"/>
      <w:pPr>
        <w:tabs>
          <w:tab w:val="num" w:pos="0"/>
        </w:tabs>
        <w:ind w:left="4635" w:hanging="180"/>
      </w:pPr>
      <w:rPr/>
    </w:lvl>
    <w:lvl w:ilvl="3">
      <w:start w:val="1"/>
      <w:numFmt w:val="decimal"/>
      <w:lvlText w:val="%4."/>
      <w:lvlJc w:val="left"/>
      <w:pPr>
        <w:tabs>
          <w:tab w:val="num" w:pos="0"/>
        </w:tabs>
        <w:ind w:left="5355" w:hanging="360"/>
      </w:pPr>
      <w:rPr/>
    </w:lvl>
    <w:lvl w:ilvl="4">
      <w:start w:val="1"/>
      <w:numFmt w:val="lowerLetter"/>
      <w:lvlText w:val="%5."/>
      <w:lvlJc w:val="left"/>
      <w:pPr>
        <w:tabs>
          <w:tab w:val="num" w:pos="0"/>
        </w:tabs>
        <w:ind w:left="6075" w:hanging="360"/>
      </w:pPr>
      <w:rPr/>
    </w:lvl>
    <w:lvl w:ilvl="5">
      <w:start w:val="1"/>
      <w:numFmt w:val="lowerRoman"/>
      <w:lvlText w:val="%6."/>
      <w:lvlJc w:val="right"/>
      <w:pPr>
        <w:tabs>
          <w:tab w:val="num" w:pos="0"/>
        </w:tabs>
        <w:ind w:left="6795" w:hanging="180"/>
      </w:pPr>
      <w:rPr/>
    </w:lvl>
    <w:lvl w:ilvl="6">
      <w:start w:val="1"/>
      <w:numFmt w:val="decimal"/>
      <w:lvlText w:val="%7."/>
      <w:lvlJc w:val="left"/>
      <w:pPr>
        <w:tabs>
          <w:tab w:val="num" w:pos="0"/>
        </w:tabs>
        <w:ind w:left="7515" w:hanging="360"/>
      </w:pPr>
      <w:rPr/>
    </w:lvl>
    <w:lvl w:ilvl="7">
      <w:start w:val="1"/>
      <w:numFmt w:val="lowerLetter"/>
      <w:lvlText w:val="%8."/>
      <w:lvlJc w:val="left"/>
      <w:pPr>
        <w:tabs>
          <w:tab w:val="num" w:pos="0"/>
        </w:tabs>
        <w:ind w:left="8235" w:hanging="360"/>
      </w:pPr>
      <w:rPr/>
    </w:lvl>
    <w:lvl w:ilvl="8">
      <w:start w:val="1"/>
      <w:numFmt w:val="lowerRoman"/>
      <w:lvlText w:val="%9."/>
      <w:lvlJc w:val="right"/>
      <w:pPr>
        <w:tabs>
          <w:tab w:val="num" w:pos="0"/>
        </w:tabs>
        <w:ind w:left="8955" w:hanging="180"/>
      </w:pPr>
      <w:rPr/>
    </w:lvl>
  </w:abstractNum>
  <w:abstractNum w:abstractNumId="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color w:val="000000"/>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
    <w:lvl w:ilvl="0">
      <w:start w:val="1"/>
      <w:numFmt w:val="lowerLetter"/>
      <w:lvlText w:val="%1)"/>
      <w:lvlJc w:val="left"/>
      <w:pPr>
        <w:tabs>
          <w:tab w:val="num" w:pos="0"/>
        </w:tabs>
        <w:ind w:left="2130" w:hanging="360"/>
      </w:pPr>
      <w:rPr/>
    </w:lvl>
    <w:lvl w:ilvl="1">
      <w:start w:val="1"/>
      <w:numFmt w:val="lowerLetter"/>
      <w:lvlText w:val="%2."/>
      <w:lvlJc w:val="left"/>
      <w:pPr>
        <w:tabs>
          <w:tab w:val="num" w:pos="0"/>
        </w:tabs>
        <w:ind w:left="2850" w:hanging="360"/>
      </w:pPr>
      <w:rPr/>
    </w:lvl>
    <w:lvl w:ilvl="2">
      <w:start w:val="1"/>
      <w:numFmt w:val="lowerRoman"/>
      <w:lvlText w:val="%3."/>
      <w:lvlJc w:val="right"/>
      <w:pPr>
        <w:tabs>
          <w:tab w:val="num" w:pos="0"/>
        </w:tabs>
        <w:ind w:left="3570" w:hanging="180"/>
      </w:pPr>
      <w:rPr/>
    </w:lvl>
    <w:lvl w:ilvl="3">
      <w:start w:val="1"/>
      <w:numFmt w:val="decimal"/>
      <w:lvlText w:val="%4."/>
      <w:lvlJc w:val="left"/>
      <w:pPr>
        <w:tabs>
          <w:tab w:val="num" w:pos="0"/>
        </w:tabs>
        <w:ind w:left="4290" w:hanging="360"/>
      </w:pPr>
      <w:rPr/>
    </w:lvl>
    <w:lvl w:ilvl="4">
      <w:start w:val="1"/>
      <w:numFmt w:val="lowerLetter"/>
      <w:lvlText w:val="%5."/>
      <w:lvlJc w:val="left"/>
      <w:pPr>
        <w:tabs>
          <w:tab w:val="num" w:pos="0"/>
        </w:tabs>
        <w:ind w:left="5010" w:hanging="360"/>
      </w:pPr>
      <w:rPr/>
    </w:lvl>
    <w:lvl w:ilvl="5">
      <w:start w:val="1"/>
      <w:numFmt w:val="lowerRoman"/>
      <w:lvlText w:val="%6."/>
      <w:lvlJc w:val="right"/>
      <w:pPr>
        <w:tabs>
          <w:tab w:val="num" w:pos="0"/>
        </w:tabs>
        <w:ind w:left="5730" w:hanging="180"/>
      </w:pPr>
      <w:rPr/>
    </w:lvl>
    <w:lvl w:ilvl="6">
      <w:start w:val="1"/>
      <w:numFmt w:val="decimal"/>
      <w:lvlText w:val="%7."/>
      <w:lvlJc w:val="left"/>
      <w:pPr>
        <w:tabs>
          <w:tab w:val="num" w:pos="0"/>
        </w:tabs>
        <w:ind w:left="6450" w:hanging="360"/>
      </w:pPr>
      <w:rPr/>
    </w:lvl>
    <w:lvl w:ilvl="7">
      <w:start w:val="1"/>
      <w:numFmt w:val="lowerLetter"/>
      <w:lvlText w:val="%8."/>
      <w:lvlJc w:val="left"/>
      <w:pPr>
        <w:tabs>
          <w:tab w:val="num" w:pos="0"/>
        </w:tabs>
        <w:ind w:left="7170" w:hanging="360"/>
      </w:pPr>
      <w:rPr/>
    </w:lvl>
    <w:lvl w:ilvl="8">
      <w:start w:val="1"/>
      <w:numFmt w:val="lowerRoman"/>
      <w:lvlText w:val="%9."/>
      <w:lvlJc w:val="right"/>
      <w:pPr>
        <w:tabs>
          <w:tab w:val="num" w:pos="0"/>
        </w:tabs>
        <w:ind w:left="7890" w:hanging="180"/>
      </w:pPr>
      <w:rPr/>
    </w:lvl>
  </w:abstractNum>
  <w:abstractNum w:abstractNumId="7">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7"/>
      <w:numFmt w:val="decimal"/>
      <w:lvlText w:val="%1"/>
      <w:lvlJc w:val="left"/>
      <w:pPr>
        <w:tabs>
          <w:tab w:val="num" w:pos="0"/>
        </w:tabs>
        <w:ind w:left="790" w:hanging="790"/>
      </w:pPr>
      <w:rPr/>
    </w:lvl>
    <w:lvl w:ilvl="1">
      <w:start w:val="2"/>
      <w:numFmt w:val="decimal"/>
      <w:lvlText w:val="%1.%2"/>
      <w:lvlJc w:val="left"/>
      <w:pPr>
        <w:tabs>
          <w:tab w:val="num" w:pos="0"/>
        </w:tabs>
        <w:ind w:left="931" w:hanging="790"/>
      </w:pPr>
      <w:rPr/>
    </w:lvl>
    <w:lvl w:ilvl="2">
      <w:start w:val="4"/>
      <w:numFmt w:val="decimal"/>
      <w:lvlText w:val="%1.%2.%3"/>
      <w:lvlJc w:val="left"/>
      <w:pPr>
        <w:tabs>
          <w:tab w:val="num" w:pos="0"/>
        </w:tabs>
        <w:ind w:left="1072" w:hanging="790"/>
      </w:pPr>
      <w:rPr/>
    </w:lvl>
    <w:lvl w:ilvl="3">
      <w:start w:val="2"/>
      <w:numFmt w:val="decimal"/>
      <w:lvlText w:val="%1.%2.%3.%4"/>
      <w:lvlJc w:val="left"/>
      <w:pPr>
        <w:tabs>
          <w:tab w:val="num" w:pos="0"/>
        </w:tabs>
        <w:ind w:left="1213" w:hanging="790"/>
      </w:pPr>
      <w:rPr/>
    </w:lvl>
    <w:lvl w:ilvl="4">
      <w:start w:val="1"/>
      <w:numFmt w:val="decimal"/>
      <w:lvlText w:val="%1.%2.%3.%4.%5"/>
      <w:lvlJc w:val="left"/>
      <w:pPr>
        <w:tabs>
          <w:tab w:val="num" w:pos="0"/>
        </w:tabs>
        <w:ind w:left="1644" w:hanging="1080"/>
      </w:pPr>
      <w:rPr/>
    </w:lvl>
    <w:lvl w:ilvl="5">
      <w:start w:val="1"/>
      <w:numFmt w:val="decimal"/>
      <w:lvlText w:val="%1.%2.%3.%4.%5.%6"/>
      <w:lvlJc w:val="left"/>
      <w:pPr>
        <w:tabs>
          <w:tab w:val="num" w:pos="0"/>
        </w:tabs>
        <w:ind w:left="1785" w:hanging="1080"/>
      </w:pPr>
      <w:rPr/>
    </w:lvl>
    <w:lvl w:ilvl="6">
      <w:start w:val="1"/>
      <w:numFmt w:val="decimal"/>
      <w:lvlText w:val="%1.%2.%3.%4.%5.%6.%7"/>
      <w:lvlJc w:val="left"/>
      <w:pPr>
        <w:tabs>
          <w:tab w:val="num" w:pos="0"/>
        </w:tabs>
        <w:ind w:left="2286" w:hanging="1440"/>
      </w:pPr>
      <w:rPr/>
    </w:lvl>
    <w:lvl w:ilvl="7">
      <w:start w:val="1"/>
      <w:numFmt w:val="decimal"/>
      <w:lvlText w:val="%1.%2.%3.%4.%5.%6.%7.%8"/>
      <w:lvlJc w:val="left"/>
      <w:pPr>
        <w:tabs>
          <w:tab w:val="num" w:pos="0"/>
        </w:tabs>
        <w:ind w:left="2427" w:hanging="1440"/>
      </w:pPr>
      <w:rPr/>
    </w:lvl>
    <w:lvl w:ilvl="8">
      <w:start w:val="1"/>
      <w:numFmt w:val="decimal"/>
      <w:lvlText w:val="%1.%2.%3.%4.%5.%6.%7.%8.%9"/>
      <w:lvlJc w:val="left"/>
      <w:pPr>
        <w:tabs>
          <w:tab w:val="num" w:pos="0"/>
        </w:tabs>
        <w:ind w:left="2928" w:hanging="1800"/>
      </w:pPr>
      <w:rPr/>
    </w:lvl>
  </w:abstractNum>
  <w:abstractNum w:abstractNumId="1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rFonts w:ascii="Calibri Light" w:hAnsi="Calibri Light"/>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3"/>
    <w:lvlOverride w:ilvl="0">
      <w:startOverride w:val="1"/>
    </w:lvlOverride>
    <w:lvlOverride w:ilvl="1">
      <w:startOverride w:val="1"/>
    </w:lvlOverride>
    <w:lvlOverride w:ilvl="2">
      <w:startOverride w:val="1"/>
    </w:lvlOverride>
  </w:num>
  <w:num w:numId="110">
    <w:abstractNumId w:val="3"/>
    <w:lvlOverride w:ilvl="0">
      <w:startOverride w:val="1"/>
    </w:lvlOverride>
    <w:lvlOverride w:ilvl="1">
      <w:startOverride w:val="1"/>
    </w:lvlOverride>
    <w:lvlOverride w:ilvl="2">
      <w:startOverride w:val="1"/>
    </w:lvlOverride>
  </w:num>
  <w:num w:numId="111">
    <w:abstractNumId w:val="3"/>
    <w:lvlOverride w:ilvl="0">
      <w:startOverride w:val="1"/>
    </w:lvlOverride>
    <w:lvlOverride w:ilvl="1">
      <w:startOverride w:val="1"/>
    </w:lvlOverride>
    <w:lvlOverride w:ilvl="2">
      <w:startOverride w:val="1"/>
    </w:lvlOverride>
  </w:num>
  <w:num w:numId="112">
    <w:abstractNumId w:val="3"/>
    <w:lvlOverride w:ilvl="0">
      <w:startOverride w:val="1"/>
    </w:lvlOverride>
    <w:lvlOverride w:ilvl="1">
      <w:startOverride w:val="1"/>
    </w:lvlOverride>
    <w:lvlOverride w:ilvl="2">
      <w:startOverride w:val="1"/>
    </w:lvlOverride>
  </w:num>
  <w:num w:numId="113">
    <w:abstractNumId w:val="3"/>
    <w:lvlOverride w:ilvl="0">
      <w:startOverride w:val="1"/>
    </w:lvlOverride>
    <w:lvlOverride w:ilvl="1">
      <w:startOverride w:val="1"/>
    </w:lvlOverride>
    <w:lvlOverride w:ilvl="2">
      <w:startOverride w:val="1"/>
    </w:lvlOverride>
  </w:num>
  <w:num w:numId="114">
    <w:abstractNumId w:val="3"/>
    <w:lvlOverride w:ilvl="0">
      <w:startOverride w:val="1"/>
    </w:lvlOverride>
    <w:lvlOverride w:ilvl="1">
      <w:startOverride w:val="1"/>
    </w:lvlOverride>
    <w:lvlOverride w:ilvl="2">
      <w:startOverride w:val="1"/>
    </w:lvlOverride>
  </w:num>
  <w:num w:numId="115">
    <w:abstractNumId w:val="3"/>
    <w:lvlOverride w:ilvl="0">
      <w:startOverride w:val="1"/>
    </w:lvlOverride>
    <w:lvlOverride w:ilvl="1">
      <w:startOverride w:val="1"/>
    </w:lvlOverride>
    <w:lvlOverride w:ilvl="2">
      <w:startOverride w:val="1"/>
    </w:lvlOverride>
  </w:num>
  <w:num w:numId="116">
    <w:abstractNumId w:val="3"/>
    <w:lvlOverride w:ilvl="0">
      <w:startOverride w:val="1"/>
    </w:lvlOverride>
    <w:lvlOverride w:ilvl="1">
      <w:startOverride w:val="1"/>
    </w:lvlOverride>
    <w:lvlOverride w:ilvl="2">
      <w:startOverride w:val="1"/>
    </w:lvlOverride>
  </w:num>
  <w:num w:numId="117">
    <w:abstractNumId w:val="3"/>
    <w:lvlOverride w:ilvl="0">
      <w:startOverride w:val="1"/>
    </w:lvlOverride>
    <w:lvlOverride w:ilvl="1">
      <w:startOverride w:val="1"/>
    </w:lvlOverride>
    <w:lvlOverride w:ilvl="2">
      <w:startOverride w:val="1"/>
    </w:lvlOverride>
  </w:num>
  <w:num w:numId="118">
    <w:abstractNumId w:val="3"/>
    <w:lvlOverride w:ilvl="0">
      <w:startOverride w:val="1"/>
    </w:lvlOverride>
    <w:lvlOverride w:ilvl="1">
      <w:startOverride w:val="1"/>
    </w:lvlOverride>
    <w:lvlOverride w:ilvl="2">
      <w:startOverride w:val="1"/>
    </w:lvlOverride>
  </w:num>
  <w:num w:numId="119">
    <w:abstractNumId w:val="3"/>
    <w:lvlOverride w:ilvl="0">
      <w:startOverride w:val="1"/>
    </w:lvlOverride>
    <w:lvlOverride w:ilvl="1">
      <w:startOverride w:val="1"/>
    </w:lvlOverride>
    <w:lvlOverride w:ilvl="2">
      <w:startOverride w:val="1"/>
    </w:lvlOverride>
  </w:num>
  <w:num w:numId="120">
    <w:abstractNumId w:val="3"/>
  </w:num>
  <w:num w:numId="121">
    <w:abstractNumId w:val="3"/>
  </w:num>
  <w:num w:numId="122">
    <w:abstractNumId w:val="3"/>
  </w:num>
  <w:num w:numId="123">
    <w:abstractNumId w:val="3"/>
  </w:num>
  <w:num w:numId="124">
    <w:abstractNumId w:val="3"/>
  </w:num>
  <w:num w:numId="125">
    <w:abstractNumId w:val="3"/>
  </w:num>
  <w:num w:numId="126">
    <w:abstractNumId w:val="3"/>
  </w:num>
  <w:num w:numId="127">
    <w:abstractNumId w:val="3"/>
    <w:lvlOverride w:ilvl="0">
      <w:startOverride w:val="1"/>
    </w:lvlOverride>
    <w:lvlOverride w:ilvl="1">
      <w:startOverride w:val="1"/>
    </w:lvlOverride>
    <w:lvlOverride w:ilvl="2">
      <w:startOverride w:val="1"/>
    </w:lvlOverride>
  </w:num>
  <w:num w:numId="128">
    <w:abstractNumId w:val="3"/>
    <w:lvlOverride w:ilvl="0">
      <w:startOverride w:val="1"/>
    </w:lvlOverride>
    <w:lvlOverride w:ilvl="1">
      <w:startOverride w:val="1"/>
    </w:lvlOverride>
    <w:lvlOverride w:ilvl="2">
      <w:startOverride w:val="1"/>
    </w:lvlOverride>
  </w:num>
  <w:num w:numId="129">
    <w:abstractNumId w:val="3"/>
    <w:lvlOverride w:ilvl="0">
      <w:startOverride w:val="1"/>
    </w:lvlOverride>
    <w:lvlOverride w:ilvl="1">
      <w:startOverride w:val="1"/>
    </w:lvlOverride>
    <w:lvlOverride w:ilvl="2">
      <w:startOverride w:val="1"/>
    </w:lvlOverride>
  </w:num>
  <w:num w:numId="130">
    <w:abstractNumId w:val="3"/>
    <w:lvlOverride w:ilvl="0">
      <w:startOverride w:val="1"/>
    </w:lvlOverride>
    <w:lvlOverride w:ilvl="1">
      <w:startOverride w:val="1"/>
    </w:lvlOverride>
    <w:lvlOverride w:ilvl="2">
      <w:startOverride w:val="1"/>
    </w:lvlOverride>
  </w:num>
  <w:num w:numId="131">
    <w:abstractNumId w:val="3"/>
    <w:lvlOverride w:ilvl="0">
      <w:startOverride w:val="1"/>
    </w:lvlOverride>
    <w:lvlOverride w:ilvl="1">
      <w:startOverride w:val="1"/>
    </w:lvlOverride>
    <w:lvlOverride w:ilvl="2">
      <w:startOverride w:val="1"/>
    </w:lvlOverride>
  </w:num>
  <w:num w:numId="132">
    <w:abstractNumId w:val="3"/>
    <w:lvlOverride w:ilvl="0">
      <w:startOverride w:val="1"/>
    </w:lvlOverride>
    <w:lvlOverride w:ilvl="1">
      <w:startOverride w:val="1"/>
    </w:lvlOverride>
    <w:lvlOverride w:ilvl="2">
      <w:startOverride w:val="1"/>
    </w:lvlOverride>
  </w:num>
  <w:num w:numId="133">
    <w:abstractNumId w:val="3"/>
    <w:lvlOverride w:ilvl="0">
      <w:startOverride w:val="1"/>
    </w:lvlOverride>
    <w:lvlOverride w:ilvl="1">
      <w:startOverride w:val="1"/>
    </w:lvlOverride>
    <w:lvlOverride w:ilvl="2">
      <w:startOverride w:val="1"/>
    </w:lvlOverride>
  </w:num>
  <w:num w:numId="134">
    <w:abstractNumId w:val="3"/>
    <w:lvlOverride w:ilvl="0">
      <w:startOverride w:val="1"/>
    </w:lvlOverride>
    <w:lvlOverride w:ilvl="1">
      <w:startOverride w:val="1"/>
    </w:lvlOverride>
    <w:lvlOverride w:ilvl="2">
      <w:startOverride w:val="1"/>
    </w:lvlOverride>
  </w:num>
  <w:num w:numId="135">
    <w:abstractNumId w:val="3"/>
    <w:lvlOverride w:ilvl="0">
      <w:startOverride w:val="1"/>
    </w:lvlOverride>
    <w:lvlOverride w:ilvl="1">
      <w:startOverride w:val="1"/>
    </w:lvlOverride>
    <w:lvlOverride w:ilvl="2">
      <w:startOverride w:val="1"/>
    </w:lvlOverride>
  </w:num>
  <w:num w:numId="136">
    <w:abstractNumId w:val="3"/>
    <w:lvlOverride w:ilvl="0">
      <w:startOverride w:val="1"/>
    </w:lvlOverride>
    <w:lvlOverride w:ilvl="1">
      <w:startOverride w:val="1"/>
    </w:lvlOverride>
    <w:lvlOverride w:ilvl="2">
      <w:startOverride w:val="1"/>
    </w:lvlOverride>
  </w:num>
  <w:num w:numId="137">
    <w:abstractNumId w:val="3"/>
    <w:lvlOverride w:ilvl="0">
      <w:startOverride w:val="1"/>
    </w:lvlOverride>
    <w:lvlOverride w:ilvl="1">
      <w:startOverride w:val="1"/>
    </w:lvlOverride>
    <w:lvlOverride w:ilvl="2">
      <w:startOverride w:val="1"/>
    </w:lvlOverride>
  </w:num>
  <w:num w:numId="138">
    <w:abstractNumId w:val="3"/>
    <w:lvlOverride w:ilvl="0">
      <w:startOverride w:val="1"/>
    </w:lvlOverride>
    <w:lvlOverride w:ilvl="1">
      <w:startOverride w:val="1"/>
    </w:lvlOverride>
    <w:lvlOverride w:ilvl="2">
      <w:startOverride w:val="1"/>
    </w:lvlOverride>
  </w:num>
  <w:num w:numId="139">
    <w:abstractNumId w:val="3"/>
    <w:lvlOverride w:ilvl="0">
      <w:startOverride w:val="1"/>
    </w:lvlOverride>
    <w:lvlOverride w:ilvl="1">
      <w:startOverride w:val="1"/>
    </w:lvlOverride>
    <w:lvlOverride w:ilvl="2">
      <w:startOverride w:val="1"/>
    </w:lvlOverride>
  </w:num>
  <w:num w:numId="140">
    <w:abstractNumId w:val="3"/>
    <w:lvlOverride w:ilvl="0">
      <w:startOverride w:val="1"/>
    </w:lvlOverride>
    <w:lvlOverride w:ilvl="1">
      <w:startOverride w:val="1"/>
    </w:lvlOverride>
    <w:lvlOverride w:ilvl="2">
      <w:startOverride w:val="1"/>
    </w:lvlOverride>
  </w:num>
  <w:num w:numId="141">
    <w:abstractNumId w:val="3"/>
    <w:lvlOverride w:ilvl="0">
      <w:startOverride w:val="1"/>
    </w:lvlOverride>
    <w:lvlOverride w:ilvl="1">
      <w:startOverride w:val="1"/>
    </w:lvlOverride>
    <w:lvlOverride w:ilvl="2">
      <w:startOverride w:val="1"/>
    </w:lvlOverride>
  </w:num>
  <w:num w:numId="142">
    <w:abstractNumId w:val="3"/>
    <w:lvlOverride w:ilvl="0">
      <w:startOverride w:val="1"/>
    </w:lvlOverride>
    <w:lvlOverride w:ilvl="1">
      <w:startOverride w:val="1"/>
    </w:lvlOverride>
    <w:lvlOverride w:ilvl="2">
      <w:startOverride w:val="1"/>
    </w:lvlOverride>
  </w:num>
  <w:num w:numId="143">
    <w:abstractNumId w:val="3"/>
    <w:lvlOverride w:ilvl="0">
      <w:startOverride w:val="1"/>
    </w:lvlOverride>
    <w:lvlOverride w:ilvl="1">
      <w:startOverride w:val="1"/>
    </w:lvlOverride>
    <w:lvlOverride w:ilvl="2">
      <w:startOverride w:val="1"/>
    </w:lvlOverride>
  </w:num>
  <w:num w:numId="144">
    <w:abstractNumId w:val="3"/>
    <w:lvlOverride w:ilvl="0">
      <w:startOverride w:val="1"/>
    </w:lvlOverride>
    <w:lvlOverride w:ilvl="1">
      <w:startOverride w:val="1"/>
    </w:lvlOverride>
    <w:lvlOverride w:ilvl="2">
      <w:startOverride w:val="1"/>
    </w:lvlOverride>
  </w:num>
  <w:num w:numId="145">
    <w:abstractNumId w:val="3"/>
    <w:lvlOverride w:ilvl="0">
      <w:startOverride w:val="1"/>
    </w:lvlOverride>
    <w:lvlOverride w:ilvl="1">
      <w:startOverride w:val="1"/>
    </w:lvlOverride>
    <w:lvlOverride w:ilvl="2">
      <w:startOverride w:val="1"/>
    </w:lvlOverride>
  </w:num>
  <w:num w:numId="146">
    <w:abstractNumId w:val="3"/>
    <w:lvlOverride w:ilvl="0">
      <w:startOverride w:val="1"/>
    </w:lvlOverride>
    <w:lvlOverride w:ilvl="1">
      <w:startOverride w:val="1"/>
    </w:lvlOverride>
    <w:lvlOverride w:ilvl="2">
      <w:startOverride w:val="1"/>
    </w:lvlOverride>
  </w:num>
  <w:num w:numId="147">
    <w:abstractNumId w:val="3"/>
    <w:lvlOverride w:ilvl="0">
      <w:startOverride w:val="1"/>
    </w:lvlOverride>
    <w:lvlOverride w:ilvl="1">
      <w:startOverride w:val="1"/>
    </w:lvlOverride>
    <w:lvlOverride w:ilvl="2">
      <w:startOverride w:val="1"/>
    </w:lvlOverride>
  </w:num>
  <w:num w:numId="148">
    <w:abstractNumId w:val="3"/>
    <w:lvlOverride w:ilvl="0">
      <w:startOverride w:val="1"/>
    </w:lvlOverride>
    <w:lvlOverride w:ilvl="1">
      <w:startOverride w:val="1"/>
    </w:lvlOverride>
    <w:lvlOverride w:ilvl="2">
      <w:startOverride w:val="1"/>
    </w:lvlOverride>
  </w:num>
  <w:num w:numId="149">
    <w:abstractNumId w:val="3"/>
  </w:num>
  <w:num w:numId="150">
    <w:abstractNumId w:val="3"/>
    <w:lvlOverride w:ilvl="0">
      <w:startOverride w:val="1"/>
    </w:lvlOverride>
    <w:lvlOverride w:ilvl="1">
      <w:startOverride w:val="1"/>
    </w:lvlOverride>
    <w:lvlOverride w:ilvl="2">
      <w:startOverride w:val="1"/>
    </w:lvlOverride>
  </w:num>
  <w:num w:numId="151">
    <w:abstractNumId w:val="3"/>
    <w:lvlOverride w:ilvl="0">
      <w:startOverride w:val="1"/>
    </w:lvlOverride>
    <w:lvlOverride w:ilvl="1">
      <w:startOverride w:val="1"/>
    </w:lvlOverride>
    <w:lvlOverride w:ilvl="2">
      <w:startOverride w:val="1"/>
    </w:lvlOverride>
  </w:num>
  <w:num w:numId="152">
    <w:abstractNumId w:val="3"/>
    <w:lvlOverride w:ilvl="0">
      <w:startOverride w:val="1"/>
    </w:lvlOverride>
    <w:lvlOverride w:ilvl="1">
      <w:startOverride w:val="1"/>
    </w:lvlOverride>
    <w:lvlOverride w:ilvl="2">
      <w:startOverride w:val="1"/>
    </w:lvlOverride>
  </w:num>
  <w:num w:numId="153">
    <w:abstractNumId w:val="3"/>
    <w:lvlOverride w:ilvl="0">
      <w:startOverride w:val="1"/>
    </w:lvlOverride>
    <w:lvlOverride w:ilvl="1">
      <w:startOverride w:val="1"/>
    </w:lvlOverride>
    <w:lvlOverride w:ilvl="2">
      <w:startOverride w:val="1"/>
    </w:lvlOverride>
  </w:num>
  <w:num w:numId="154">
    <w:abstractNumId w:val="3"/>
    <w:lvlOverride w:ilvl="0">
      <w:startOverride w:val="1"/>
    </w:lvlOverride>
  </w:num>
  <w:num w:numId="155">
    <w:abstractNumId w:val="3"/>
    <w:lvlOverride w:ilvl="0">
      <w:startOverride w:val="1"/>
    </w:lvlOverride>
    <w:lvlOverride w:ilvl="1">
      <w:startOverride w:val="1"/>
    </w:lvlOverride>
    <w:lvlOverride w:ilvl="2">
      <w:startOverride w:val="1"/>
    </w:lvlOverride>
  </w:num>
  <w:num w:numId="156">
    <w:abstractNumId w:val="3"/>
    <w:lvlOverride w:ilvl="0">
      <w:startOverride w:val="1"/>
    </w:lvlOverride>
    <w:lvlOverride w:ilvl="1">
      <w:startOverride w:val="1"/>
    </w:lvlOverride>
    <w:lvlOverride w:ilvl="2">
      <w:startOverride w:val="1"/>
    </w:lvlOverride>
  </w:num>
  <w:num w:numId="157">
    <w:abstractNumId w:val="11"/>
    <w:lvlOverride w:ilvl="0">
      <w:startOverride w:val="1"/>
    </w:lvlOverride>
    <w:lvlOverride w:ilvl="1">
      <w:startOverride w:val="1"/>
    </w:lvlOverride>
    <w:lvlOverride w:ilvl="2">
      <w:startOverride w:val="1"/>
    </w:lvlOverride>
  </w:num>
  <w:num w:numId="158">
    <w:abstractNumId w:val="11"/>
    <w:lvlOverride w:ilvl="0">
      <w:startOverride w:val="1"/>
    </w:lvlOverride>
    <w:lvlOverride w:ilvl="1">
      <w:startOverride w:val="1"/>
    </w:lvlOverride>
    <w:lvlOverride w:ilvl="2">
      <w:startOverride w:val="1"/>
    </w:lvlOverride>
  </w:num>
  <w:num w:numId="159">
    <w:abstractNumId w:val="11"/>
    <w:lvlOverride w:ilvl="0">
      <w:startOverride w:val="1"/>
    </w:lvlOverride>
    <w:lvlOverride w:ilvl="1">
      <w:startOverride w:val="1"/>
    </w:lvlOverride>
    <w:lvlOverride w:ilvl="2">
      <w:startOverride w:val="1"/>
    </w:lvlOverride>
  </w:num>
  <w:num w:numId="160">
    <w:abstractNumId w:val="11"/>
    <w:lvlOverride w:ilvl="0">
      <w:startOverride w:val="1"/>
    </w:lvlOverride>
    <w:lvlOverride w:ilvl="1">
      <w:startOverride w:val="1"/>
    </w:lvlOverride>
    <w:lvlOverride w:ilvl="2">
      <w:startOverride w:val="1"/>
    </w:lvlOverride>
  </w:num>
  <w:num w:numId="161">
    <w:abstractNumId w:val="11"/>
    <w:lvlOverride w:ilvl="0">
      <w:startOverride w:val="1"/>
    </w:lvlOverride>
    <w:lvlOverride w:ilvl="1">
      <w:startOverride w:val="1"/>
    </w:lvlOverride>
    <w:lvlOverride w:ilvl="2">
      <w:startOverride w:val="1"/>
    </w:lvlOverride>
  </w:num>
  <w:num w:numId="162">
    <w:abstractNumId w:val="11"/>
    <w:lvlOverride w:ilvl="0">
      <w:startOverride w:val="1"/>
    </w:lvlOverride>
    <w:lvlOverride w:ilvl="1">
      <w:startOverride w:val="1"/>
    </w:lvlOverride>
    <w:lvlOverride w:ilvl="2">
      <w:startOverride w:val="1"/>
    </w:lvlOverride>
  </w:num>
  <w:num w:numId="163">
    <w:abstractNumId w:val="11"/>
    <w:lvlOverride w:ilvl="0">
      <w:startOverride w:val="1"/>
    </w:lvlOverride>
    <w:lvlOverride w:ilvl="1">
      <w:startOverride w:val="1"/>
    </w:lvlOverride>
    <w:lvlOverride w:ilvl="2">
      <w:startOverride w:val="1"/>
    </w:lvlOverride>
  </w:num>
  <w:num w:numId="164">
    <w:abstractNumId w:val="11"/>
    <w:lvlOverride w:ilvl="0">
      <w:startOverride w:val="1"/>
    </w:lvlOverride>
    <w:lvlOverride w:ilvl="1">
      <w:startOverride w:val="1"/>
    </w:lvlOverride>
    <w:lvlOverride w:ilvl="2">
      <w:startOverride w:val="1"/>
    </w:lvlOverride>
  </w:num>
  <w:num w:numId="165">
    <w:abstractNumId w:val="11"/>
  </w:num>
  <w:num w:numId="166">
    <w:abstractNumId w:val="11"/>
    <w:lvlOverride w:ilvl="0">
      <w:startOverride w:val="1"/>
    </w:lvlOverride>
    <w:lvlOverride w:ilvl="1">
      <w:startOverride w:val="1"/>
    </w:lvlOverride>
    <w:lvlOverride w:ilvl="2">
      <w:startOverride w:val="1"/>
    </w:lvlOverride>
  </w:num>
  <w:num w:numId="167">
    <w:abstractNumId w:val="11"/>
    <w:lvlOverride w:ilvl="0">
      <w:startOverride w:val="1"/>
    </w:lvlOverride>
    <w:lvlOverride w:ilvl="1">
      <w:startOverride w:val="1"/>
    </w:lvlOverride>
    <w:lvlOverride w:ilvl="2">
      <w:startOverride w:val="1"/>
    </w:lvlOverride>
  </w:num>
  <w:num w:numId="168">
    <w:abstractNumId w:val="11"/>
    <w:lvlOverride w:ilvl="0">
      <w:startOverride w:val="1"/>
    </w:lvlOverride>
    <w:lvlOverride w:ilvl="1">
      <w:startOverride w:val="1"/>
    </w:lvlOverride>
    <w:lvlOverride w:ilvl="2">
      <w:startOverride w:val="1"/>
    </w:lvlOverride>
  </w:num>
  <w:num w:numId="169">
    <w:abstractNumId w:val="11"/>
    <w:lvlOverride w:ilvl="0">
      <w:startOverride w:val="1"/>
    </w:lvlOverride>
    <w:lvlOverride w:ilvl="1">
      <w:startOverride w:val="1"/>
    </w:lvlOverride>
    <w:lvlOverride w:ilvl="2">
      <w:startOverride w:val="1"/>
    </w:lvlOverride>
  </w:num>
  <w:num w:numId="170">
    <w:abstractNumId w:val="11"/>
    <w:lvlOverride w:ilvl="0">
      <w:startOverride w:val="1"/>
    </w:lvlOverride>
    <w:lvlOverride w:ilvl="1">
      <w:startOverride w:val="1"/>
    </w:lvlOverride>
    <w:lvlOverride w:ilvl="2">
      <w:startOverride w:val="1"/>
    </w:lvlOverride>
  </w:num>
  <w:num w:numId="171">
    <w:abstractNumId w:val="11"/>
    <w:lvlOverride w:ilvl="0">
      <w:startOverride w:val="1"/>
    </w:lvlOverride>
    <w:lvlOverride w:ilvl="1">
      <w:startOverride w:val="1"/>
    </w:lvlOverride>
    <w:lvlOverride w:ilvl="2">
      <w:startOverride w:val="1"/>
    </w:lvlOverride>
  </w:num>
  <w:num w:numId="172">
    <w:abstractNumId w:val="11"/>
    <w:lvlOverride w:ilvl="0">
      <w:startOverride w:val="1"/>
    </w:lvlOverride>
    <w:lvlOverride w:ilvl="1">
      <w:startOverride w:val="1"/>
    </w:lvlOverride>
    <w:lvlOverride w:ilvl="2">
      <w:startOverride w:val="1"/>
    </w:lvlOverride>
  </w:num>
  <w:num w:numId="173">
    <w:abstractNumId w:val="11"/>
    <w:lvlOverride w:ilvl="0">
      <w:startOverride w:val="1"/>
    </w:lvlOverride>
    <w:lvlOverride w:ilvl="1">
      <w:startOverride w:val="1"/>
    </w:lvlOverride>
    <w:lvlOverride w:ilvl="2">
      <w:startOverride w:val="1"/>
    </w:lvlOverride>
  </w:num>
  <w:num w:numId="174">
    <w:abstractNumId w:val="11"/>
    <w:lvlOverride w:ilvl="0">
      <w:startOverride w:val="1"/>
    </w:lvlOverride>
    <w:lvlOverride w:ilvl="1">
      <w:startOverride w:val="1"/>
    </w:lvlOverride>
    <w:lvlOverride w:ilvl="2">
      <w:startOverride w:val="1"/>
    </w:lvlOverride>
  </w:num>
  <w:num w:numId="175">
    <w:abstractNumId w:val="11"/>
  </w:num>
  <w:num w:numId="176">
    <w:abstractNumId w:val="11"/>
  </w:num>
  <w:num w:numId="177">
    <w:abstractNumId w:val="11"/>
  </w:num>
  <w:num w:numId="178">
    <w:abstractNumId w:val="11"/>
  </w:num>
  <w:num w:numId="179">
    <w:abstractNumId w:val="11"/>
  </w:num>
  <w:num w:numId="180">
    <w:abstractNumId w:val="11"/>
    <w:lvlOverride w:ilvl="0">
      <w:startOverride w:val="1"/>
    </w:lvlOverride>
    <w:lvlOverride w:ilvl="1">
      <w:startOverride w:val="1"/>
    </w:lvlOverride>
    <w:lvlOverride w:ilvl="2">
      <w:startOverride w:val="1"/>
    </w:lvlOverride>
  </w:num>
  <w:num w:numId="181">
    <w:abstractNumId w:val="11"/>
    <w:lvlOverride w:ilvl="0">
      <w:startOverride w:val="1"/>
    </w:lvlOverride>
    <w:lvlOverride w:ilvl="1">
      <w:startOverride w:val="1"/>
    </w:lvlOverride>
    <w:lvlOverride w:ilvl="2">
      <w:startOverride w:val="1"/>
    </w:lvlOverride>
  </w:num>
  <w:num w:numId="182">
    <w:abstractNumId w:val="11"/>
    <w:lvlOverride w:ilvl="0">
      <w:startOverride w:val="1"/>
    </w:lvlOverride>
    <w:lvlOverride w:ilvl="1">
      <w:startOverride w:val="1"/>
    </w:lvlOverride>
    <w:lvlOverride w:ilvl="2">
      <w:startOverride w:val="1"/>
    </w:lvlOverride>
  </w:num>
  <w:num w:numId="183">
    <w:abstractNumId w:val="11"/>
    <w:lvlOverride w:ilvl="0">
      <w:startOverride w:val="1"/>
    </w:lvlOverride>
    <w:lvlOverride w:ilvl="1">
      <w:startOverride w:val="1"/>
    </w:lvlOverride>
    <w:lvlOverride w:ilvl="2">
      <w:startOverride w:val="1"/>
    </w:lvlOverride>
  </w:num>
  <w:num w:numId="184">
    <w:abstractNumId w:val="11"/>
    <w:lvlOverride w:ilvl="0">
      <w:startOverride w:val="1"/>
    </w:lvlOverride>
    <w:lvlOverride w:ilvl="1">
      <w:startOverride w:val="1"/>
    </w:lvlOverride>
    <w:lvlOverride w:ilvl="2">
      <w:startOverride w:val="1"/>
    </w:lvlOverride>
  </w:num>
  <w:num w:numId="185">
    <w:abstractNumId w:val="11"/>
    <w:lvlOverride w:ilvl="0">
      <w:startOverride w:val="1"/>
    </w:lvlOverride>
    <w:lvlOverride w:ilvl="1">
      <w:startOverride w:val="1"/>
    </w:lvlOverride>
    <w:lvlOverride w:ilvl="2">
      <w:startOverride w:val="1"/>
    </w:lvlOverride>
  </w:num>
  <w:num w:numId="186">
    <w:abstractNumId w:val="11"/>
    <w:lvlOverride w:ilvl="0">
      <w:startOverride w:val="1"/>
    </w:lvlOverride>
    <w:lvlOverride w:ilvl="1">
      <w:startOverride w:val="1"/>
    </w:lvlOverride>
    <w:lvlOverride w:ilvl="2">
      <w:startOverride w:val="1"/>
    </w:lvlOverride>
  </w:num>
  <w:num w:numId="187">
    <w:abstractNumId w:val="11"/>
    <w:lvlOverride w:ilvl="0">
      <w:startOverride w:val="1"/>
    </w:lvlOverride>
    <w:lvlOverride w:ilvl="1">
      <w:startOverride w:val="1"/>
    </w:lvlOverride>
    <w:lvlOverride w:ilvl="2">
      <w:startOverride w:val="1"/>
    </w:lvlOverride>
  </w:num>
  <w:num w:numId="188">
    <w:abstractNumId w:val="11"/>
    <w:lvlOverride w:ilvl="0">
      <w:startOverride w:val="1"/>
    </w:lvlOverride>
    <w:lvlOverride w:ilvl="1">
      <w:startOverride w:val="1"/>
    </w:lvlOverride>
    <w:lvlOverride w:ilvl="2">
      <w:startOverride w:val="1"/>
    </w:lvlOverride>
  </w:num>
  <w:num w:numId="189">
    <w:abstractNumId w:val="11"/>
    <w:lvlOverride w:ilvl="0">
      <w:startOverride w:val="1"/>
    </w:lvlOverride>
    <w:lvlOverride w:ilvl="1">
      <w:startOverride w:val="1"/>
    </w:lvlOverride>
    <w:lvlOverride w:ilvl="2">
      <w:startOverride w:val="1"/>
    </w:lvlOverride>
  </w:num>
  <w:num w:numId="190">
    <w:abstractNumId w:val="11"/>
    <w:lvlOverride w:ilvl="0">
      <w:startOverride w:val="1"/>
    </w:lvlOverride>
    <w:lvlOverride w:ilvl="1">
      <w:startOverride w:val="1"/>
    </w:lvlOverride>
    <w:lvlOverride w:ilvl="2">
      <w:startOverride w:val="1"/>
    </w:lvlOverride>
  </w:num>
  <w:num w:numId="191">
    <w:abstractNumId w:val="11"/>
    <w:lvlOverride w:ilvl="0">
      <w:startOverride w:val="1"/>
    </w:lvlOverride>
    <w:lvlOverride w:ilvl="1">
      <w:startOverride w:val="1"/>
    </w:lvlOverride>
    <w:lvlOverride w:ilvl="2">
      <w:startOverride w:val="1"/>
    </w:lvlOverride>
  </w:num>
  <w:num w:numId="192">
    <w:abstractNumId w:val="11"/>
    <w:lvlOverride w:ilvl="0">
      <w:startOverride w:val="1"/>
    </w:lvlOverride>
    <w:lvlOverride w:ilvl="1">
      <w:startOverride w:val="1"/>
    </w:lvlOverride>
    <w:lvlOverride w:ilvl="2">
      <w:startOverride w:val="1"/>
    </w:lvlOverride>
  </w:num>
  <w:num w:numId="193">
    <w:abstractNumId w:val="11"/>
    <w:lvlOverride w:ilvl="0">
      <w:startOverride w:val="1"/>
    </w:lvlOverride>
    <w:lvlOverride w:ilvl="1">
      <w:startOverride w:val="1"/>
    </w:lvlOverride>
    <w:lvlOverride w:ilvl="2">
      <w:startOverride w:val="1"/>
    </w:lvlOverride>
  </w:num>
  <w:num w:numId="194">
    <w:abstractNumId w:val="11"/>
    <w:lvlOverride w:ilvl="0">
      <w:startOverride w:val="1"/>
    </w:lvlOverride>
    <w:lvlOverride w:ilvl="1">
      <w:startOverride w:val="1"/>
    </w:lvlOverride>
    <w:lvlOverride w:ilvl="2">
      <w:startOverride w:val="1"/>
    </w:lvlOverride>
  </w:num>
  <w:num w:numId="195">
    <w:abstractNumId w:val="11"/>
    <w:lvlOverride w:ilvl="0">
      <w:startOverride w:val="1"/>
    </w:lvlOverride>
    <w:lvlOverride w:ilvl="1">
      <w:startOverride w:val="1"/>
    </w:lvlOverride>
    <w:lvlOverride w:ilvl="2">
      <w:startOverride w:val="1"/>
    </w:lvlOverride>
  </w:num>
  <w:num w:numId="196">
    <w:abstractNumId w:val="11"/>
    <w:lvlOverride w:ilvl="0">
      <w:startOverride w:val="1"/>
    </w:lvlOverride>
    <w:lvlOverride w:ilvl="1">
      <w:startOverride w:val="1"/>
    </w:lvlOverride>
    <w:lvlOverride w:ilvl="2">
      <w:startOverride w:val="1"/>
    </w:lvlOverride>
  </w:num>
  <w:num w:numId="197">
    <w:abstractNumId w:val="11"/>
    <w:lvlOverride w:ilvl="0">
      <w:startOverride w:val="1"/>
    </w:lvlOverride>
    <w:lvlOverride w:ilvl="1">
      <w:startOverride w:val="1"/>
    </w:lvlOverride>
    <w:lvlOverride w:ilvl="2">
      <w:startOverride w:val="1"/>
    </w:lvlOverride>
  </w:num>
  <w:num w:numId="198">
    <w:abstractNumId w:val="11"/>
    <w:lvlOverride w:ilvl="0">
      <w:startOverride w:val="1"/>
    </w:lvlOverride>
    <w:lvlOverride w:ilvl="1">
      <w:startOverride w:val="1"/>
    </w:lvlOverride>
    <w:lvlOverride w:ilvl="2">
      <w:startOverride w:val="1"/>
    </w:lvlOverride>
  </w:num>
  <w:num w:numId="199">
    <w:abstractNumId w:val="11"/>
    <w:lvlOverride w:ilvl="0">
      <w:startOverride w:val="1"/>
    </w:lvlOverride>
    <w:lvlOverride w:ilvl="1">
      <w:startOverride w:val="1"/>
    </w:lvlOverride>
    <w:lvlOverride w:ilvl="2">
      <w:startOverride w:val="1"/>
    </w:lvlOverride>
  </w:num>
  <w:num w:numId="200">
    <w:abstractNumId w:val="11"/>
    <w:lvlOverride w:ilvl="0">
      <w:startOverride w:val="1"/>
    </w:lvlOverride>
    <w:lvlOverride w:ilvl="1">
      <w:startOverride w:val="1"/>
    </w:lvlOverride>
    <w:lvlOverride w:ilvl="2">
      <w:startOverride w:val="1"/>
    </w:lvlOverride>
  </w:num>
  <w:num w:numId="201">
    <w:abstractNumId w:val="11"/>
  </w:num>
  <w:num w:numId="202">
    <w:abstractNumId w:val="11"/>
    <w:lvlOverride w:ilvl="0">
      <w:startOverride w:val="1"/>
    </w:lvlOverride>
    <w:lvlOverride w:ilvl="1">
      <w:startOverride w:val="1"/>
    </w:lvlOverride>
    <w:lvlOverride w:ilvl="2">
      <w:startOverride w:val="1"/>
    </w:lvlOverride>
  </w:num>
  <w:num w:numId="203">
    <w:abstractNumId w:val="11"/>
    <w:lvlOverride w:ilvl="0">
      <w:startOverride w:val="1"/>
    </w:lvlOverride>
    <w:lvlOverride w:ilvl="1">
      <w:startOverride w:val="1"/>
    </w:lvlOverride>
    <w:lvlOverride w:ilvl="2">
      <w:startOverride w:val="1"/>
    </w:lvlOverride>
  </w:num>
  <w:num w:numId="204">
    <w:abstractNumId w:val="11"/>
    <w:lvlOverride w:ilvl="0">
      <w:startOverride w:val="1"/>
    </w:lvlOverride>
    <w:lvlOverride w:ilvl="1">
      <w:startOverride w:val="1"/>
    </w:lvlOverride>
    <w:lvlOverride w:ilvl="2">
      <w:startOverride w:val="1"/>
    </w:lvlOverride>
  </w:num>
</w:numbering>
</file>

<file path=word/settings.xml><?xml version="1.0" encoding="utf-8"?>
<w:settings xmlns:w="http://schemas.openxmlformats.org/wordprocessingml/2006/main">
  <w:zoom w:percent="100"/>
  <w:mirrorMargins/>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Ecofont_Spranq_eco_Sans" w:hAnsi="Ecofont_Spranq_eco_Sans" w:eastAsia="ＭＳ 明朝" w:cs="Tahoma"/>
      <w:color w:val="auto"/>
      <w:kern w:val="0"/>
      <w:sz w:val="24"/>
      <w:szCs w:val="24"/>
      <w:lang w:val="pt-BR" w:eastAsia="pt-BR" w:bidi="ar-SA"/>
    </w:rPr>
  </w:style>
  <w:style w:type="paragraph" w:styleId="Ttulo1">
    <w:name w:val="Heading 1"/>
    <w:basedOn w:val="Normal"/>
    <w:next w:val="Normal"/>
    <w:link w:val="Ttulo1Char"/>
    <w:qFormat/>
    <w:pPr>
      <w:keepNext w:val="true"/>
      <w:keepLines/>
      <w:numPr>
        <w:ilvl w:val="0"/>
        <w:numId w:val="8"/>
      </w:numPr>
      <w:spacing w:before="480" w:after="0"/>
      <w:outlineLvl w:val="0"/>
    </w:pPr>
    <w:rPr>
      <w:rFonts w:ascii="Arial" w:hAnsi="Arial" w:eastAsia="ＭＳ ゴシック" w:cs="Times New Roman"/>
      <w:b/>
      <w:bCs/>
      <w:sz w:val="20"/>
      <w:szCs w:val="28"/>
    </w:rPr>
  </w:style>
  <w:style w:type="paragraph" w:styleId="Ttulo2">
    <w:name w:val="Heading 2"/>
    <w:basedOn w:val="Normal"/>
    <w:next w:val="Normal"/>
    <w:link w:val="Ttulo2Char"/>
    <w:qFormat/>
    <w:pPr>
      <w:keepNext w:val="true"/>
      <w:numPr>
        <w:ilvl w:val="1"/>
        <w:numId w:val="9"/>
      </w:numPr>
      <w:spacing w:lineRule="auto" w:line="276" w:before="120" w:after="120"/>
      <w:ind w:left="0" w:right="0" w:hanging="0"/>
      <w:jc w:val="both"/>
      <w:outlineLvl w:val="1"/>
    </w:pPr>
    <w:rPr>
      <w:rFonts w:ascii="Arial" w:hAnsi="Arial" w:cs="Times New Roman"/>
      <w:sz w:val="20"/>
      <w:szCs w:val="20"/>
    </w:rPr>
  </w:style>
  <w:style w:type="paragraph" w:styleId="Ttulo3">
    <w:name w:val="Heading 3"/>
    <w:basedOn w:val="Normal"/>
    <w:next w:val="Normal"/>
    <w:link w:val="Ttulo3Char"/>
    <w:qFormat/>
    <w:pPr>
      <w:keepNext w:val="true"/>
      <w:keepLines/>
      <w:numPr>
        <w:ilvl w:val="0"/>
        <w:numId w:val="0"/>
      </w:numPr>
      <w:spacing w:lineRule="auto" w:line="259" w:before="40" w:after="0"/>
      <w:outlineLvl w:val="2"/>
    </w:pPr>
    <w:rPr>
      <w:rFonts w:ascii="Calibri" w:hAnsi="Calibri" w:eastAsia="ＭＳ ゴシック" w:cs="Times New Roman"/>
      <w:color w:val="243F60"/>
      <w:lang w:eastAsia="en-US"/>
    </w:rPr>
  </w:style>
  <w:style w:type="paragraph" w:styleId="Ttulo4">
    <w:name w:val="Heading 4"/>
    <w:basedOn w:val="Normal"/>
    <w:next w:val="Normal"/>
    <w:link w:val="Ttulo4Char"/>
    <w:qFormat/>
    <w:pPr>
      <w:keepNext w:val="true"/>
      <w:keepLines/>
      <w:numPr>
        <w:ilvl w:val="0"/>
        <w:numId w:val="0"/>
      </w:numPr>
      <w:spacing w:before="40" w:after="0"/>
      <w:outlineLvl w:val="3"/>
    </w:pPr>
    <w:rPr>
      <w:rFonts w:ascii="Calibri" w:hAnsi="Calibri" w:eastAsia="ＭＳ ゴシック" w:cs="Times New Roman"/>
      <w:i/>
      <w:iCs/>
      <w:color w:val="365F91"/>
    </w:rPr>
  </w:style>
  <w:style w:type="paragraph" w:styleId="Ttulo6">
    <w:name w:val="Heading 6"/>
    <w:basedOn w:val="Normal"/>
    <w:next w:val="Normal"/>
    <w:link w:val="Ttulo6Char"/>
    <w:qFormat/>
    <w:pPr>
      <w:keepNext w:val="true"/>
      <w:keepLines/>
      <w:numPr>
        <w:ilvl w:val="0"/>
        <w:numId w:val="0"/>
      </w:numPr>
      <w:spacing w:lineRule="auto" w:line="259" w:before="40" w:after="0"/>
      <w:outlineLvl w:val="5"/>
    </w:pPr>
    <w:rPr>
      <w:rFonts w:ascii="Calibri" w:hAnsi="Calibri" w:eastAsia="ＭＳ ゴシック" w:cs="Times New Roman"/>
      <w:color w:val="243F60"/>
      <w:sz w:val="22"/>
      <w:szCs w:val="22"/>
      <w:lang w:eastAsia="en-US"/>
    </w:rPr>
  </w:style>
  <w:style w:type="character" w:styleId="DefaultParagraphFont">
    <w:name w:val="Default Paragraph Font"/>
    <w:qFormat/>
    <w:rPr/>
  </w:style>
  <w:style w:type="character" w:styleId="TextodebaloChar">
    <w:name w:val="Texto de balão Char"/>
    <w:link w:val="BalloonText"/>
    <w:qFormat/>
    <w:rPr>
      <w:rFonts w:ascii="Tahoma" w:hAnsi="Tahoma" w:cs="Tahoma"/>
      <w:sz w:val="16"/>
      <w:szCs w:val="16"/>
    </w:rPr>
  </w:style>
  <w:style w:type="character" w:styleId="Ttulo2Char">
    <w:name w:val="Título 2 Char"/>
    <w:qFormat/>
    <w:rPr>
      <w:rFonts w:ascii="Arial" w:hAnsi="Arial"/>
      <w:lang w:eastAsia="pt-BR"/>
    </w:rPr>
  </w:style>
  <w:style w:type="character" w:styleId="Normalchar1">
    <w:name w:val="normal__char1"/>
    <w:qFormat/>
    <w:rPr>
      <w:rFonts w:ascii="Arial" w:hAnsi="Arial" w:cs="Arial"/>
      <w:strike w:val="false"/>
      <w:dstrike w:val="false"/>
      <w:sz w:val="24"/>
      <w:szCs w:val="24"/>
      <w:u w:val="none"/>
      <w:effect w:val="none"/>
    </w:rPr>
  </w:style>
  <w:style w:type="character" w:styleId="Apple-style-span">
    <w:name w:val="apple-style-span"/>
    <w:basedOn w:val="DefaultParagraphFont"/>
    <w:qFormat/>
    <w:rPr/>
  </w:style>
  <w:style w:type="character" w:styleId="LinkdaInternet">
    <w:name w:val="Hyperlink"/>
    <w:basedOn w:val="DefaultParagraphFont"/>
    <w:rPr>
      <w:color w:val="0000FF"/>
      <w:u w:val="single"/>
    </w:rPr>
  </w:style>
  <w:style w:type="character" w:styleId="CitaoChar">
    <w:name w:val="Citação Char"/>
    <w:link w:val="Quote"/>
    <w:qFormat/>
    <w:rPr>
      <w:rFonts w:ascii="Arial" w:hAnsi="Arial" w:eastAsia="Calibri" w:cs="Tahoma"/>
      <w:i/>
      <w:iCs/>
      <w:color w:val="000000"/>
      <w:szCs w:val="24"/>
      <w:shd w:fill="FFFFCC" w:val="clear"/>
    </w:rPr>
  </w:style>
  <w:style w:type="character" w:styleId="NotaexplicativaChar">
    <w:name w:val="Nota explicativa Char"/>
    <w:basedOn w:val="CitaoChar"/>
    <w:link w:val="Notaexplicativa"/>
    <w:qFormat/>
    <w:rPr>
      <w:rFonts w:ascii="Arial" w:hAnsi="Arial" w:eastAsia="Calibri" w:cs="Tahoma"/>
      <w:i/>
      <w:iCs/>
      <w:color w:val="000000"/>
      <w:szCs w:val="24"/>
      <w:shd w:fill="FFFFCC" w:val="clear"/>
    </w:rPr>
  </w:style>
  <w:style w:type="character" w:styleId="CabealhoChar">
    <w:name w:val="Cabeçalho Char"/>
    <w:qFormat/>
    <w:rPr>
      <w:rFonts w:ascii="Ecofont_Spranq_eco_Sans" w:hAnsi="Ecofont_Spranq_eco_Sans" w:cs="Tahoma"/>
      <w:sz w:val="24"/>
      <w:szCs w:val="24"/>
    </w:rPr>
  </w:style>
  <w:style w:type="character" w:styleId="RodapChar">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link w:val="Annotationtext"/>
    <w:qFormat/>
    <w:rPr>
      <w:rFonts w:ascii="Ecofont_Spranq_eco_Sans" w:hAnsi="Ecofont_Spranq_eco_Sans" w:cs="Tahoma"/>
      <w:lang w:eastAsia="pt-BR"/>
    </w:rPr>
  </w:style>
  <w:style w:type="character" w:styleId="AssuntodocomentrioChar">
    <w:name w:val="Assunto do comentário Char"/>
    <w:basedOn w:val="TextodecomentrioChar"/>
    <w:link w:val="Annotationsubject"/>
    <w:qFormat/>
    <w:rPr>
      <w:rFonts w:ascii="Ecofont_Spranq_eco_Sans" w:hAnsi="Ecofont_Spranq_eco_Sans" w:cs="Tahoma"/>
      <w:b/>
      <w:bCs/>
      <w:lang w:eastAsia="pt-BR"/>
    </w:rPr>
  </w:style>
  <w:style w:type="character" w:styleId="Ttulo4Char">
    <w:name w:val="Título 4 Char"/>
    <w:basedOn w:val="DefaultParagraphFont"/>
    <w:qFormat/>
    <w:rPr>
      <w:rFonts w:ascii="Calibri" w:hAnsi="Calibri" w:eastAsia="ＭＳ ゴシック" w:cs="Times New Roman"/>
      <w:i/>
      <w:iCs/>
      <w:color w:val="365F91"/>
      <w:sz w:val="24"/>
      <w:szCs w:val="24"/>
      <w:lang w:eastAsia="pt-BR"/>
    </w:rPr>
  </w:style>
  <w:style w:type="character" w:styleId="TtuloChar">
    <w:name w:val="Título Char"/>
    <w:basedOn w:val="DefaultParagraphFont"/>
    <w:qFormat/>
    <w:rPr>
      <w:rFonts w:ascii="Calibri" w:hAnsi="Calibri" w:eastAsia="ＭＳ ゴシック" w:cs="Times New Roman"/>
      <w:color w:val="17365D"/>
      <w:spacing w:val="5"/>
      <w:kern w:val="2"/>
      <w:sz w:val="52"/>
      <w:szCs w:val="52"/>
      <w:lang w:eastAsia="pt-BR"/>
    </w:rPr>
  </w:style>
  <w:style w:type="character" w:styleId="Nivel01Char">
    <w:name w:val="Nivel 01 Char"/>
    <w:basedOn w:val="TtuloChar"/>
    <w:link w:val="Nivel01"/>
    <w:qFormat/>
    <w:rPr>
      <w:rFonts w:ascii="Arial" w:hAnsi="Arial" w:eastAsia="Arial" w:cs="Arial"/>
      <w:b/>
      <w:iCs/>
      <w:color w:val="17365D"/>
      <w:spacing w:val="5"/>
      <w:kern w:val="2"/>
      <w:sz w:val="52"/>
      <w:szCs w:val="52"/>
      <w:lang w:eastAsia="pt-BR"/>
    </w:rPr>
  </w:style>
  <w:style w:type="character" w:styleId="Ttulo1Char">
    <w:name w:val="Título 1 Char"/>
    <w:basedOn w:val="DefaultParagraphFont"/>
    <w:qFormat/>
    <w:rPr>
      <w:rFonts w:ascii="Arial" w:hAnsi="Arial" w:eastAsia="ＭＳ ゴシック" w:cs="Times New Roman"/>
      <w:b/>
      <w:bCs/>
      <w:szCs w:val="28"/>
      <w:lang w:eastAsia="pt-BR"/>
    </w:rPr>
  </w:style>
  <w:style w:type="character" w:styleId="Nivel01TituloChar">
    <w:name w:val="Nivel_01_Titulo Char"/>
    <w:basedOn w:val="Nivel01Char"/>
    <w:link w:val="Nivel01Titulo"/>
    <w:qFormat/>
    <w:rPr>
      <w:rFonts w:ascii="Arial" w:hAnsi="Arial" w:eastAsia="Arial" w:cs="Times New Roman"/>
      <w:b/>
      <w:i w:val="false"/>
      <w:iCs/>
      <w:color w:val="000000"/>
      <w:spacing w:val="5"/>
      <w:kern w:val="2"/>
      <w:sz w:val="52"/>
      <w:szCs w:val="52"/>
      <w:lang w:eastAsia="pt-BR"/>
    </w:rPr>
  </w:style>
  <w:style w:type="character" w:styleId="QuoteChar">
    <w:name w:val="Quote Char"/>
    <w:basedOn w:val="DefaultParagraphFont"/>
    <w:link w:val="Citao1"/>
    <w:qFormat/>
    <w:rPr>
      <w:rFonts w:ascii="Ecofont_Spranq_eco_Sans" w:hAnsi="Ecofont_Spranq_eco_Sans" w:eastAsia="Calibri" w:cs="Tahoma"/>
      <w:i/>
      <w:iCs/>
      <w:color w:val="000000"/>
      <w:shd w:fill="FFFFCC" w:val="clear"/>
    </w:rPr>
  </w:style>
  <w:style w:type="character" w:styleId="Normaltextrun">
    <w:name w:val="normaltextrun"/>
    <w:basedOn w:val="DefaultParagraphFont"/>
    <w:qFormat/>
    <w:rPr/>
  </w:style>
  <w:style w:type="character" w:styleId="Eop">
    <w:name w:val="eop"/>
    <w:basedOn w:val="DefaultParagraphFont"/>
    <w:qFormat/>
    <w:rPr/>
  </w:style>
  <w:style w:type="character" w:styleId="Spellingerror">
    <w:name w:val="spellingerror"/>
    <w:basedOn w:val="DefaultParagraphFont"/>
    <w:qFormat/>
    <w:rPr/>
  </w:style>
  <w:style w:type="character" w:styleId="CorpodetextoChar">
    <w:name w:val="Corpo de texto Char"/>
    <w:basedOn w:val="DefaultParagraphFont"/>
    <w:link w:val="Textbody1"/>
    <w:qFormat/>
    <w:rPr>
      <w:rFonts w:eastAsia="Times New Roman"/>
      <w:sz w:val="24"/>
      <w:szCs w:val="24"/>
      <w:lang w:eastAsia="pt-BR"/>
    </w:rPr>
  </w:style>
  <w:style w:type="character" w:styleId="Nivel1Char">
    <w:name w:val="Nivel1 Char"/>
    <w:basedOn w:val="Ttulo1Char"/>
    <w:link w:val="Nivel1"/>
    <w:qFormat/>
    <w:rPr>
      <w:rFonts w:ascii="Arial" w:hAnsi="Arial" w:eastAsia="ＭＳ ゴシック" w:cs="Arial"/>
      <w:b/>
      <w:bCs w:val="false"/>
      <w:color w:val="000000"/>
      <w:szCs w:val="28"/>
      <w:lang w:eastAsia="pt-BR"/>
    </w:rPr>
  </w:style>
  <w:style w:type="character" w:styleId="Nivel4Char">
    <w:name w:val="Nivel 4 Char"/>
    <w:basedOn w:val="DefaultParagraphFont"/>
    <w:link w:val="Nivel4"/>
    <w:qFormat/>
    <w:rPr>
      <w:rFonts w:ascii="Arial" w:hAnsi="Arial" w:cs="Arial"/>
      <w:bCs/>
      <w:lang w:eastAsia="pt-BR"/>
    </w:rPr>
  </w:style>
  <w:style w:type="character" w:styleId="Cp0020corpodespachochar1">
    <w:name w:val="cp_0020corpodespacho__char1"/>
    <w:qFormat/>
    <w:rPr>
      <w:rFonts w:ascii="Times New Roman" w:hAnsi="Times New Roman" w:cs="Times New Roman"/>
      <w:strike w:val="false"/>
      <w:dstrike w:val="false"/>
      <w:sz w:val="26"/>
      <w:szCs w:val="26"/>
      <w:u w:val="none"/>
      <w:effect w:val="none"/>
    </w:rPr>
  </w:style>
  <w:style w:type="character" w:styleId="Em0020ementachar1">
    <w:name w:val="em_0020ementa__char1"/>
    <w:qFormat/>
    <w:rPr>
      <w:rFonts w:ascii="Times New Roman" w:hAnsi="Times New Roman" w:cs="Times New Roman"/>
      <w:strike w:val="false"/>
      <w:dstrike w:val="false"/>
      <w:sz w:val="28"/>
      <w:szCs w:val="28"/>
      <w:u w:val="none"/>
      <w:effect w:val="none"/>
    </w:rPr>
  </w:style>
  <w:style w:type="character" w:styleId="Strong">
    <w:name w:val="Strong"/>
    <w:qFormat/>
    <w:rPr>
      <w:b/>
      <w:bCs/>
    </w:rPr>
  </w:style>
  <w:style w:type="character" w:styleId="Nfase">
    <w:name w:val="Emphasis"/>
    <w:basedOn w:val="DefaultParagraphFont"/>
    <w:qFormat/>
    <w:rPr>
      <w:i/>
      <w:iCs/>
    </w:rPr>
  </w:style>
  <w:style w:type="character" w:styleId="Manoel">
    <w:name w:val="Manoel"/>
    <w:qFormat/>
    <w:rPr>
      <w:rFonts w:ascii="Arial" w:hAnsi="Arial" w:cs="Arial"/>
      <w:color w:val="7030A0"/>
      <w:sz w:val="20"/>
    </w:rPr>
  </w:style>
  <w:style w:type="character" w:styleId="GradeColorida-nfase1Char">
    <w:name w:val="Grade Colorida - Ênfase 1 Char"/>
    <w:link w:val="GradeColorida-nfase11"/>
    <w:qFormat/>
    <w:rPr>
      <w:rFonts w:ascii="Arial" w:hAnsi="Arial" w:eastAsia="Calibri"/>
      <w:i/>
      <w:iCs/>
      <w:color w:val="000000"/>
      <w:szCs w:val="24"/>
      <w:shd w:fill="FFFFCC" w:val="clear"/>
    </w:rPr>
  </w:style>
  <w:style w:type="character" w:styleId="Highlight">
    <w:name w:val="highlight"/>
    <w:basedOn w:val="DefaultParagraphFont"/>
    <w:qFormat/>
    <w:rPr/>
  </w:style>
  <w:style w:type="character" w:styleId="Linkdainternetvisitado">
    <w:name w:val="FollowedHyperlink"/>
    <w:basedOn w:val="DefaultParagraphFont"/>
    <w:rPr>
      <w:color w:val="800080"/>
      <w:u w:val="single"/>
    </w:rPr>
  </w:style>
  <w:style w:type="character" w:styleId="MenoPendente1">
    <w:name w:val="Menção Pendente1"/>
    <w:basedOn w:val="DefaultParagraphFont"/>
    <w:qFormat/>
    <w:rPr>
      <w:color w:val="605E5C"/>
      <w:shd w:fill="E1DFDD" w:val="clear"/>
    </w:rPr>
  </w:style>
  <w:style w:type="character" w:styleId="MenoPendente2">
    <w:name w:val="Menção Pendente2"/>
    <w:basedOn w:val="DefaultParagraphFont"/>
    <w:qFormat/>
    <w:rPr>
      <w:color w:val="605E5C"/>
      <w:shd w:fill="E1DFDD" w:val="clear"/>
    </w:rPr>
  </w:style>
  <w:style w:type="character" w:styleId="Nivel2-OpcionalChar">
    <w:name w:val="Nivel 2-Opcional Char"/>
    <w:basedOn w:val="DefaultParagraphFont"/>
    <w:link w:val="Nivel2-Opcional"/>
    <w:qFormat/>
    <w:rPr>
      <w:rFonts w:ascii="Arial" w:hAnsi="Arial" w:eastAsia="Arial" w:cs="Arial"/>
      <w:i/>
      <w:color w:val="FF0000"/>
      <w:shd w:fill="76923C" w:val="clear"/>
      <w:lang w:eastAsia="pt-BR"/>
    </w:rPr>
  </w:style>
  <w:style w:type="character" w:styleId="Nvel2OpcionalChar">
    <w:name w:val="Nível 2 Opcional Char"/>
    <w:basedOn w:val="DefaultParagraphFont"/>
    <w:link w:val="Nvel2Opcional"/>
    <w:qFormat/>
    <w:rPr>
      <w:rFonts w:ascii="Arial" w:hAnsi="Arial" w:eastAsia="Times New Roman" w:cs="Arial"/>
      <w:color w:val="FF0000"/>
      <w:shd w:fill="76923C" w:val="clear"/>
      <w:lang w:eastAsia="pt-BR"/>
    </w:rPr>
  </w:style>
  <w:style w:type="character" w:styleId="Nvel3OpcionalChar">
    <w:name w:val="Nível 3 Opcional Char"/>
    <w:basedOn w:val="DefaultParagraphFont"/>
    <w:link w:val="Nvel3Opcional"/>
    <w:qFormat/>
    <w:rPr>
      <w:rFonts w:ascii="Arial" w:hAnsi="Arial" w:eastAsia="Times New Roman" w:cs="Tahoma"/>
      <w:i/>
      <w:iCs/>
      <w:color w:val="FF0000"/>
      <w:szCs w:val="24"/>
      <w:lang w:eastAsia="pt-BR"/>
    </w:rPr>
  </w:style>
  <w:style w:type="character" w:styleId="PlaceholderText">
    <w:name w:val="Placeholder Text"/>
    <w:basedOn w:val="DefaultParagraphFont"/>
    <w:qFormat/>
    <w:rPr>
      <w:color w:val="808080"/>
    </w:rPr>
  </w:style>
  <w:style w:type="character" w:styleId="PargrafodaListaChar">
    <w:name w:val="Parágrafo da Lista Char"/>
    <w:basedOn w:val="DefaultParagraphFont"/>
    <w:link w:val="ListParagraph"/>
    <w:qFormat/>
    <w:rPr>
      <w:rFonts w:ascii="Ecofont_Spranq_eco_Sans" w:hAnsi="Ecofont_Spranq_eco_Sans" w:cs="Tahoma"/>
      <w:sz w:val="24"/>
      <w:szCs w:val="24"/>
      <w:lang w:eastAsia="pt-BR"/>
    </w:rPr>
  </w:style>
  <w:style w:type="character" w:styleId="Ttulo3Char">
    <w:name w:val="Título 3 Char"/>
    <w:basedOn w:val="DefaultParagraphFont"/>
    <w:qFormat/>
    <w:rPr>
      <w:rFonts w:ascii="Calibri" w:hAnsi="Calibri" w:eastAsia="ＭＳ ゴシック" w:cs="Times New Roman"/>
      <w:color w:val="243F60"/>
      <w:sz w:val="24"/>
      <w:szCs w:val="24"/>
    </w:rPr>
  </w:style>
  <w:style w:type="character" w:styleId="Ttulo6Char">
    <w:name w:val="Título 6 Char"/>
    <w:basedOn w:val="DefaultParagraphFont"/>
    <w:qFormat/>
    <w:rPr>
      <w:rFonts w:ascii="Calibri" w:hAnsi="Calibri" w:eastAsia="ＭＳ ゴシック" w:cs="Times New Roman"/>
      <w:color w:val="243F60"/>
      <w:sz w:val="22"/>
      <w:szCs w:val="22"/>
    </w:rPr>
  </w:style>
  <w:style w:type="character" w:styleId="Markedcontent">
    <w:name w:val="markedcontent"/>
    <w:basedOn w:val="DefaultParagraphFont"/>
    <w:qFormat/>
    <w:rPr/>
  </w:style>
  <w:style w:type="character" w:styleId="MenoPendente3">
    <w:name w:val="Menção Pendente3"/>
    <w:basedOn w:val="DefaultParagraphFont"/>
    <w:qFormat/>
    <w:rPr>
      <w:color w:val="605E5C"/>
      <w:shd w:fill="E1DFDD" w:val="clear"/>
    </w:rPr>
  </w:style>
  <w:style w:type="character" w:styleId="MenoPendente4">
    <w:name w:val="Menção Pendente4"/>
    <w:basedOn w:val="DefaultParagraphFont"/>
    <w:qFormat/>
    <w:rPr>
      <w:color w:val="605E5C"/>
      <w:shd w:fill="E1DFDD" w:val="clear"/>
    </w:rPr>
  </w:style>
  <w:style w:type="character" w:styleId="OuChar">
    <w:name w:val="ou Char"/>
    <w:basedOn w:val="PargrafodaListaChar"/>
    <w:link w:val="Ou"/>
    <w:qFormat/>
    <w:rPr>
      <w:rFonts w:ascii="Arial" w:hAnsi="Arial" w:eastAsia="Cambria" w:cs="Arial"/>
      <w:b/>
      <w:bCs/>
      <w:i/>
      <w:iCs/>
      <w:color w:val="FF0000"/>
      <w:sz w:val="24"/>
      <w:szCs w:val="24"/>
      <w:lang w:eastAsia="pt-BR"/>
    </w:rPr>
  </w:style>
  <w:style w:type="character" w:styleId="Nvel02Char">
    <w:name w:val="Nível 02 Char"/>
    <w:basedOn w:val="Nivel2-OpcionalChar"/>
    <w:link w:val="Nvel02"/>
    <w:qFormat/>
    <w:rPr>
      <w:rFonts w:ascii="Arial" w:hAnsi="Arial" w:eastAsia="Arial" w:cs="Arial"/>
      <w:i w:val="false"/>
      <w:iCs/>
      <w:color w:val="FF0000"/>
      <w:shd w:fill="76923C" w:val="clear"/>
      <w:lang w:eastAsia="pt-BR"/>
    </w:rPr>
  </w:style>
  <w:style w:type="character" w:styleId="Nivel3-erroChar">
    <w:name w:val="Nivel 3-erro Char"/>
    <w:basedOn w:val="DefaultParagraphFont"/>
    <w:link w:val="Nivel3-erro"/>
    <w:qFormat/>
    <w:rPr>
      <w:rFonts w:ascii="Arial" w:hAnsi="Arial" w:cs="Tahoma"/>
      <w:szCs w:val="24"/>
      <w:lang w:eastAsia="pt-BR"/>
    </w:rPr>
  </w:style>
  <w:style w:type="character" w:styleId="Nvel3-RChar">
    <w:name w:val="Nível 3-R Char"/>
    <w:basedOn w:val="Nivel3-erroChar"/>
    <w:link w:val="Nvel3-R"/>
    <w:qFormat/>
    <w:rPr>
      <w:rFonts w:ascii="Arial" w:hAnsi="Arial" w:cs="Arial"/>
      <w:i/>
      <w:iCs/>
      <w:color w:val="FF0000"/>
      <w:szCs w:val="24"/>
      <w:lang w:eastAsia="pt-BR"/>
    </w:rPr>
  </w:style>
  <w:style w:type="character" w:styleId="Nvel4-RChar">
    <w:name w:val="Nível 4-R Char"/>
    <w:basedOn w:val="Nivel4Char"/>
    <w:link w:val="Nvel4-R"/>
    <w:qFormat/>
    <w:rPr>
      <w:rFonts w:ascii="Arial" w:hAnsi="Arial" w:cs="Arial"/>
      <w:bCs/>
      <w:i/>
      <w:color w:val="FF0000"/>
      <w:lang w:eastAsia="pt-BR"/>
    </w:rPr>
  </w:style>
  <w:style w:type="character" w:styleId="Nvel1-SemNumChar">
    <w:name w:val="Nível 1-Sem Num Char"/>
    <w:basedOn w:val="Nivel01Char"/>
    <w:link w:val="Nvel1-SemNum"/>
    <w:qFormat/>
    <w:rPr>
      <w:rFonts w:ascii="Arial" w:hAnsi="Arial" w:eastAsia="Arial" w:cs="Arial"/>
      <w:b/>
      <w:i/>
      <w:iCs w:val="false"/>
      <w:color w:val="FF0000"/>
      <w:spacing w:val="5"/>
      <w:kern w:val="2"/>
      <w:sz w:val="52"/>
      <w:szCs w:val="52"/>
      <w:lang w:eastAsia="pt-BR"/>
    </w:rPr>
  </w:style>
  <w:style w:type="character" w:styleId="PrembuloChar">
    <w:name w:val="Preâmbulo Char"/>
    <w:basedOn w:val="DefaultParagraphFont"/>
    <w:link w:val="Prembulo"/>
    <w:qFormat/>
    <w:rPr>
      <w:rFonts w:ascii="Arial" w:hAnsi="Arial" w:eastAsia="Arial" w:cs="Arial"/>
      <w:bCs/>
      <w:lang w:eastAsia="pt-BR"/>
    </w:rPr>
  </w:style>
  <w:style w:type="character" w:styleId="MenoPendente5">
    <w:name w:val="Menção Pendente5"/>
    <w:basedOn w:val="DefaultParagraphFont"/>
    <w:qFormat/>
    <w:rPr>
      <w:color w:val="605E5C"/>
      <w:shd w:fill="E1DFDD" w:val="clear"/>
    </w:rPr>
  </w:style>
  <w:style w:type="character" w:styleId="Citao2Char">
    <w:name w:val="citação 2 Char"/>
    <w:basedOn w:val="CitaoChar"/>
    <w:link w:val="Citao2"/>
    <w:qFormat/>
    <w:rPr>
      <w:rFonts w:ascii="Arial" w:hAnsi="Arial" w:eastAsia="Calibri" w:cs="Tahoma"/>
      <w:i/>
      <w:iCs/>
      <w:color w:val="000000"/>
      <w:szCs w:val="24"/>
      <w:shd w:fill="FFFFCC" w:val="clear"/>
    </w:rPr>
  </w:style>
  <w:style w:type="character" w:styleId="Nvel1-SemNumeraoChar">
    <w:name w:val="Nível 1-Sem Numeração Char"/>
    <w:basedOn w:val="Nvel1-SemNumChar"/>
    <w:link w:val="Nvel1-SemNumerao"/>
    <w:qFormat/>
    <w:rPr>
      <w:rFonts w:ascii="Arial" w:hAnsi="Arial" w:eastAsia="Arial" w:cs="Arial"/>
      <w:b/>
      <w:i w:val="false"/>
      <w:iCs w:val="false"/>
      <w:color w:val="FF0000"/>
      <w:spacing w:val="5"/>
      <w:kern w:val="2"/>
      <w:sz w:val="52"/>
      <w:szCs w:val="52"/>
      <w:lang w:eastAsia="pt-BR"/>
    </w:rPr>
  </w:style>
  <w:style w:type="character" w:styleId="MenoPendente6">
    <w:name w:val="Menção Pendente6"/>
    <w:basedOn w:val="DefaultParagraphFont"/>
    <w:qFormat/>
    <w:rPr>
      <w:color w:val="605E5C"/>
      <w:shd w:fill="E1DFDD" w:val="clear"/>
    </w:rPr>
  </w:style>
  <w:style w:type="character" w:styleId="AlteraesChar">
    <w:name w:val="Alterações Char"/>
    <w:basedOn w:val="Nvel02Char"/>
    <w:link w:val="Alteraes"/>
    <w:qFormat/>
    <w:rPr>
      <w:rFonts w:ascii="Arial" w:hAnsi="Arial" w:eastAsia="Arial" w:cs="Arial"/>
      <w:i w:val="false"/>
      <w:iCs/>
      <w:color w:val="0000FF"/>
      <w:shd w:fill="76923C" w:val="clear"/>
      <w:lang w:eastAsia="pt-BR"/>
    </w:rPr>
  </w:style>
  <w:style w:type="character" w:styleId="Nivel3Char">
    <w:name w:val="Nivel 3 Char"/>
    <w:basedOn w:val="DefaultParagraphFont"/>
    <w:link w:val="Nivel3"/>
    <w:qFormat/>
    <w:rPr>
      <w:rFonts w:ascii="Arial" w:hAnsi="Arial" w:cs="Tahoma"/>
      <w:szCs w:val="24"/>
      <w:lang w:eastAsia="pt-BR"/>
    </w:rPr>
  </w:style>
  <w:style w:type="character" w:styleId="UnresolvedMention">
    <w:name w:val="Unresolved Mention"/>
    <w:basedOn w:val="DefaultParagraphFont"/>
    <w:qFormat/>
    <w:rPr>
      <w:color w:val="605E5C"/>
      <w:shd w:fill="E1DFDD" w:val="clear"/>
    </w:rPr>
  </w:style>
  <w:style w:type="character" w:styleId="Nvel2-OpcionalChar">
    <w:name w:val="Nível 2-Opcional Char"/>
    <w:basedOn w:val="Nvel02Char"/>
    <w:link w:val="Nvel2-Opcional"/>
    <w:qFormat/>
    <w:rPr>
      <w:rFonts w:ascii="Arial" w:hAnsi="Arial" w:eastAsia="Arial" w:cs="Arial"/>
      <w:i/>
      <w:iCs/>
      <w:color w:val="FF0000"/>
      <w:shd w:fill="76923C" w:val="clear"/>
      <w:lang w:eastAsia="pt-BR"/>
    </w:rPr>
  </w:style>
  <w:style w:type="character" w:styleId="Nvel3-OpcionalChar">
    <w:name w:val="Nível 3-Opcional Char"/>
    <w:basedOn w:val="Nivel3Char"/>
    <w:link w:val="Nvel3-Opcional"/>
    <w:qFormat/>
    <w:rPr>
      <w:rFonts w:ascii="Arial" w:hAnsi="Arial" w:cs="Tahoma"/>
      <w:i/>
      <w:color w:val="FF0000"/>
      <w:szCs w:val="24"/>
      <w:lang w:eastAsia="pt-BR"/>
    </w:rPr>
  </w:style>
  <w:style w:type="character" w:styleId="Nvel1-SemBlackChar">
    <w:name w:val="Nível 1-Sem Black Char"/>
    <w:basedOn w:val="DefaultParagraphFont"/>
    <w:link w:val="Nvel1-SemBlack"/>
    <w:qFormat/>
    <w:rPr>
      <w:rFonts w:ascii="Arial" w:hAnsi="Arial" w:eastAsia="ＭＳ ゴシック" w:cs="Arial"/>
      <w:b/>
      <w:bCs/>
      <w:lang w:eastAsia="pt-BR"/>
    </w:rPr>
  </w:style>
  <w:style w:type="character" w:styleId="Nivel2Char">
    <w:name w:val="Nivel 2 Char"/>
    <w:basedOn w:val="DefaultParagraphFont"/>
    <w:link w:val="Nivel2"/>
    <w:qFormat/>
    <w:rPr>
      <w:rFonts w:ascii="Arial" w:hAnsi="Arial" w:eastAsia="Arial" w:cs="Arial"/>
      <w:lang w:eastAsia="pt-BR"/>
    </w:rPr>
  </w:style>
  <w:style w:type="character" w:styleId="Nvel2-RedChar">
    <w:name w:val="Nível 2 -Red Char"/>
    <w:basedOn w:val="Nivel2Char"/>
    <w:link w:val="Nvel2-Red"/>
    <w:qFormat/>
    <w:rPr>
      <w:rFonts w:ascii="Arial" w:hAnsi="Arial" w:eastAsia="Arial" w:cs="Arial"/>
      <w:i/>
      <w:iCs/>
      <w:color w:val="FF0000"/>
      <w:lang w:eastAsia="pt-BR"/>
    </w:rPr>
  </w:style>
  <w:style w:type="character" w:styleId="Mentionnonrsolue1">
    <w:name w:val="Mention non résolue1"/>
    <w:basedOn w:val="DefaultParagraphFont"/>
    <w:qFormat/>
    <w:rPr>
      <w:color w:val="605E5C"/>
      <w:shd w:fill="E1DFDD" w:val="clear"/>
    </w:rPr>
  </w:style>
  <w:style w:type="character" w:styleId="Findhit">
    <w:name w:val="findhit"/>
    <w:basedOn w:val="DefaultParagraphFont"/>
    <w:qFormat/>
    <w:rPr/>
  </w:style>
  <w:style w:type="character" w:styleId="Meno1">
    <w:name w:val="Menção1"/>
    <w:basedOn w:val="DefaultParagraphFont"/>
    <w:qFormat/>
    <w:rPr>
      <w:color w:val="2B579A"/>
      <w:shd w:fill="E6E6E6" w:val="clear"/>
    </w:rPr>
  </w:style>
  <w:style w:type="character" w:styleId="Nvel1-SemNumPretoChar">
    <w:name w:val="Nível 1-Sem Num Preto Char"/>
    <w:basedOn w:val="Nvel1-SemNumChar"/>
    <w:link w:val="Nvel1-SemNumPreto"/>
    <w:qFormat/>
    <w:rPr>
      <w:rFonts w:ascii="Arial" w:hAnsi="Arial" w:eastAsia="ＭＳ ゴシック" w:cs="Arial"/>
      <w:b/>
      <w:bCs/>
      <w:i w:val="false"/>
      <w:iCs/>
      <w:color w:val="FF0000"/>
      <w:spacing w:val="5"/>
      <w:kern w:val="2"/>
      <w:sz w:val="52"/>
      <w:szCs w:val="52"/>
      <w:lang w:eastAsia="zh-CN" w:bidi="hi-IN"/>
    </w:rPr>
  </w:style>
  <w:style w:type="character" w:styleId="Cf01">
    <w:name w:val="cf01"/>
    <w:basedOn w:val="DefaultParagraphFont"/>
    <w:qFormat/>
    <w:rPr>
      <w:rFonts w:ascii="Segoe UI" w:hAnsi="Segoe UI" w:cs="Segoe UI"/>
      <w:b/>
      <w:bCs/>
      <w:i/>
      <w:iCs/>
      <w:sz w:val="18"/>
      <w:szCs w:val="18"/>
    </w:rPr>
  </w:style>
  <w:style w:type="character" w:styleId="TextodecomentrioChar1">
    <w:name w:val="Texto de comentário Char1"/>
    <w:basedOn w:val="DefaultParagraphFont"/>
    <w:qFormat/>
    <w:rPr>
      <w:rFonts w:ascii="Ecofont_Spranq_eco_Sans" w:hAnsi="Ecofont_Spranq_eco_Sans" w:cs="Tahoma"/>
      <w:lang w:eastAsia="pt-BR"/>
    </w:rPr>
  </w:style>
  <w:style w:type="character" w:styleId="Nvel4-RedChar">
    <w:name w:val="Nível 4-Red Char"/>
    <w:basedOn w:val="DefaultParagraphFont"/>
    <w:link w:val="Nvel4-Red"/>
    <w:qFormat/>
    <w:rPr>
      <w:rFonts w:ascii="Arial" w:hAnsi="Arial" w:eastAsia="MS Mincho" w:cs="Arial"/>
      <w:iCs/>
      <w:color w:val="FF0000"/>
    </w:rPr>
  </w:style>
  <w:style w:type="character" w:styleId="Nivel4Char1">
    <w:name w:val="Nivel 4 Char1"/>
    <w:basedOn w:val="DefaultParagraphFont"/>
    <w:qFormat/>
    <w:rPr>
      <w:rFonts w:ascii="Arial" w:hAnsi="Arial" w:cs="Arial"/>
      <w:color w:val="000000"/>
      <w:lang w:eastAsia="pt-BR"/>
    </w:rPr>
  </w:style>
  <w:style w:type="character" w:styleId="Estilo7Char">
    <w:name w:val="Estilo7 Char"/>
    <w:basedOn w:val="Nivel2Char"/>
    <w:link w:val="Estilo7"/>
    <w:qFormat/>
    <w:rPr>
      <w:rFonts w:ascii="Arial" w:hAnsi="Arial" w:eastAsia="Arial" w:cs="Arial"/>
      <w:i/>
      <w:color w:val="FF0000"/>
      <w:lang w:eastAsia="pt-BR"/>
    </w:rPr>
  </w:style>
  <w:style w:type="character" w:styleId="Estilo8Char">
    <w:name w:val="Estilo8 Char"/>
    <w:basedOn w:val="Nivel3Char"/>
    <w:link w:val="Estilo8"/>
    <w:qFormat/>
    <w:rPr>
      <w:rFonts w:ascii="Arial" w:hAnsi="Arial" w:cs="Arial"/>
      <w:i/>
      <w:color w:val="FF0000"/>
      <w:szCs w:val="24"/>
      <w:lang w:eastAsia="pt-BR"/>
    </w:rPr>
  </w:style>
  <w:style w:type="character" w:styleId="Nivel5Char">
    <w:name w:val="Nivel 5 Char"/>
    <w:basedOn w:val="Nivel4Char"/>
    <w:link w:val="Nivel5"/>
    <w:qFormat/>
    <w:rPr>
      <w:rFonts w:ascii="Arial" w:hAnsi="Arial" w:cs="Arial"/>
      <w:bCs/>
      <w:i/>
      <w:color w:val="FF0000"/>
      <w:lang w:eastAsia="pt-BR"/>
    </w:rPr>
  </w:style>
  <w:style w:type="character" w:styleId="Estilo9Char">
    <w:name w:val="Estilo9 Char"/>
    <w:basedOn w:val="Nivel5Char"/>
    <w:link w:val="Estilo9"/>
    <w:qFormat/>
    <w:rPr>
      <w:rFonts w:ascii="Arial" w:hAnsi="Arial" w:cs="Arial"/>
      <w:bCs/>
      <w:i w:val="false"/>
      <w:color w:val="FF0000"/>
      <w:szCs w:val="24"/>
      <w:lang w:eastAsia="pt-BR"/>
    </w:rPr>
  </w:style>
  <w:style w:type="character" w:styleId="Marcadores">
    <w:name w:val="Marcadores"/>
    <w:qFormat/>
    <w:rPr>
      <w:rFonts w:ascii="OpenSymbol" w:hAnsi="OpenSymbol" w:eastAsia="OpenSymbol" w:cs="OpenSymbo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pPr>
      <w:spacing w:before="280" w:after="280"/>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qFormat/>
    <w:pPr>
      <w:spacing w:before="0" w:after="0"/>
      <w:ind w:left="720" w:right="0" w:hanging="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link w:val="TextodebaloChar"/>
    <w:qFormat/>
    <w:pPr/>
    <w:rPr>
      <w:rFonts w:ascii="Tahoma" w:hAnsi="Tahoma"/>
      <w:sz w:val="16"/>
      <w:szCs w:val="16"/>
    </w:rPr>
  </w:style>
  <w:style w:type="paragraph" w:styleId="Nvel2">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Notaexplicativa">
    <w:name w:val="Nota explicativa"/>
    <w:basedOn w:val="Quote"/>
    <w:link w:val="NotaexplicativaChar"/>
    <w:qFormat/>
    <w:pPr/>
    <w:rPr>
      <w:szCs w:val="20"/>
    </w:rPr>
  </w:style>
  <w:style w:type="paragraph" w:styleId="Annotationtext">
    <w:name w:val="annotation text"/>
    <w:basedOn w:val="Normal"/>
    <w:link w:val="TextodecomentrioChar"/>
    <w:qFormat/>
    <w:pPr/>
    <w:rPr>
      <w:sz w:val="20"/>
      <w:szCs w:val="20"/>
    </w:rPr>
  </w:style>
  <w:style w:type="paragraph" w:styleId="Annotationsubject">
    <w:name w:val="annotation subject"/>
    <w:basedOn w:val="Annotationtext"/>
    <w:next w:val="Annotationtext"/>
    <w:link w:val="AssuntodocomentrioChar"/>
    <w:qFormat/>
    <w:pPr/>
    <w:rPr>
      <w:b/>
      <w:bCs/>
    </w:rPr>
  </w:style>
  <w:style w:type="paragraph" w:styleId="Nivel01">
    <w:name w:val="Nivel 01"/>
    <w:basedOn w:val="ListParagraph"/>
    <w:next w:val="Normal"/>
    <w:link w:val="Nivel01Char"/>
    <w:autoRedefine/>
    <w:qFormat/>
    <w:pPr>
      <w:numPr>
        <w:ilvl w:val="0"/>
        <w:numId w:val="3"/>
      </w:numPr>
      <w:spacing w:lineRule="auto" w:line="276" w:before="360" w:after="120"/>
      <w:ind w:left="357" w:right="0" w:hanging="357"/>
      <w:contextualSpacing w:val="false"/>
      <w:jc w:val="both"/>
      <w:outlineLvl w:val="0"/>
    </w:pPr>
    <w:rPr>
      <w:rFonts w:ascii="Arial" w:hAnsi="Arial" w:eastAsia="Arial" w:cs="Arial"/>
      <w:b/>
      <w:iCs/>
      <w:sz w:val="20"/>
      <w:szCs w:val="20"/>
    </w:rPr>
  </w:style>
  <w:style w:type="paragraph" w:styleId="Nivel01Titulo">
    <w:name w:val="Nivel_01_Titulo"/>
    <w:basedOn w:val="Nivel01"/>
    <w:link w:val="Nivel01TituloChar"/>
    <w:qFormat/>
    <w:pPr>
      <w:jc w:val="left"/>
    </w:pPr>
    <w:rPr>
      <w:rFonts w:cs="Times New Roman"/>
      <w:spacing w:val="5"/>
      <w:kern w:val="2"/>
      <w:sz w:val="52"/>
      <w:szCs w:val="52"/>
    </w:rPr>
  </w:style>
  <w:style w:type="paragraph" w:styleId="PADRO">
    <w:name w:val="PADRÃO"/>
    <w:qFormat/>
    <w:pPr>
      <w:keepNext w:val="true"/>
      <w:widowControl w:val="false"/>
      <w:shd w:val="clear" w:fill="FFFFFF"/>
      <w:suppressAutoHyphens w:val="true"/>
      <w:overflowPunct w:val="false"/>
      <w:bidi w:val="0"/>
      <w:spacing w:lineRule="auto" w:line="276" w:before="119" w:after="119"/>
      <w:ind w:left="0" w:right="0"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sz w:val="20"/>
      <w:szCs w:val="20"/>
      <w:lang w:eastAsia="en-US"/>
    </w:rPr>
  </w:style>
  <w:style w:type="paragraph" w:styleId="Paragraph">
    <w:name w:val="paragraph"/>
    <w:basedOn w:val="Normal"/>
    <w:qFormat/>
    <w:pPr>
      <w:spacing w:before="280" w:after="280"/>
    </w:pPr>
    <w:rPr>
      <w:rFonts w:ascii="Times New Roman" w:hAnsi="Times New Roman" w:eastAsia="Times New Roman" w:cs="Times New Roman"/>
    </w:rPr>
  </w:style>
  <w:style w:type="paragraph" w:styleId="Nivel1">
    <w:name w:val="Nivel1"/>
    <w:basedOn w:val="Ttulo1"/>
    <w:link w:val="Nivel1Char"/>
    <w:qFormat/>
    <w:pPr>
      <w:spacing w:lineRule="auto" w:line="276"/>
      <w:ind w:left="357" w:right="0" w:hanging="357"/>
      <w:jc w:val="both"/>
    </w:pPr>
    <w:rPr>
      <w:rFonts w:cs="Arial"/>
      <w:bCs w:val="false"/>
      <w:color w:val="000000"/>
    </w:rPr>
  </w:style>
  <w:style w:type="paragraph" w:styleId="PargrafodaLista1">
    <w:name w:val="Parágrafo da Lista1"/>
    <w:basedOn w:val="Normal"/>
    <w:qFormat/>
    <w:pPr>
      <w:ind w:left="720" w:right="0" w:hanging="0"/>
    </w:pPr>
    <w:rPr>
      <w:rFonts w:eastAsia="Times New Roman" w:cs="Ecofont_Spranq_eco_Sans"/>
    </w:rPr>
  </w:style>
  <w:style w:type="paragraph" w:styleId="Nivel2-Opcional">
    <w:name w:val="Nivel 2-Opcional"/>
    <w:basedOn w:val="Normal"/>
    <w:link w:val="Nivel2-OpcionalChar"/>
    <w:autoRedefine/>
    <w:qFormat/>
    <w:pPr>
      <w:numPr>
        <w:ilvl w:val="1"/>
        <w:numId w:val="3"/>
      </w:numPr>
      <w:shd w:val="clear" w:fill="76923C"/>
      <w:spacing w:lineRule="auto" w:line="276" w:before="120" w:after="120"/>
      <w:ind w:left="0" w:right="0" w:hanging="0"/>
      <w:jc w:val="both"/>
    </w:pPr>
    <w:rPr>
      <w:rFonts w:ascii="Arial" w:hAnsi="Arial" w:eastAsia="Arial" w:cs="Arial"/>
      <w:i/>
      <w:color w:val="FF0000"/>
      <w:sz w:val="20"/>
      <w:szCs w:val="20"/>
    </w:rPr>
  </w:style>
  <w:style w:type="paragraph" w:styleId="Nivel11">
    <w:name w:val="Nivel 1"/>
    <w:basedOn w:val="Nivel2-Opcional"/>
    <w:next w:val="Nivel2-Opcional"/>
    <w:qFormat/>
    <w:pPr>
      <w:numPr>
        <w:ilvl w:val="0"/>
        <w:numId w:val="0"/>
      </w:numPr>
      <w:ind w:left="360" w:right="0" w:hanging="360"/>
    </w:pPr>
    <w:rPr>
      <w:b/>
    </w:rPr>
  </w:style>
  <w:style w:type="paragraph" w:styleId="Nivel3-erro">
    <w:name w:val="Nivel 3-erro"/>
    <w:basedOn w:val="Nivel3"/>
    <w:link w:val="Nivel3-erroChar"/>
    <w:autoRedefine/>
    <w:qFormat/>
    <w:pPr>
      <w:numPr>
        <w:ilvl w:val="0"/>
        <w:numId w:val="2"/>
      </w:numPr>
      <w:ind w:left="993" w:right="0" w:hanging="0"/>
    </w:pPr>
    <w:rPr/>
  </w:style>
  <w:style w:type="paragraph" w:styleId="Nivel4">
    <w:name w:val="Nivel 4"/>
    <w:basedOn w:val="Nvel4-R"/>
    <w:link w:val="Nivel4Char"/>
    <w:autoRedefine/>
    <w:qFormat/>
    <w:pPr/>
    <w:rPr>
      <w:i w:val="false"/>
      <w:color w:val="auto"/>
    </w:rPr>
  </w:style>
  <w:style w:type="paragraph" w:styleId="Nivel5">
    <w:name w:val="Nivel 5"/>
    <w:basedOn w:val="Nvel4-R"/>
    <w:link w:val="Nivel5Char"/>
    <w:autoRedefine/>
    <w:qFormat/>
    <w:pPr>
      <w:ind w:left="851" w:right="0" w:hanging="0"/>
    </w:pPr>
    <w:rPr/>
  </w:style>
  <w:style w:type="paragraph" w:styleId="Textbody">
    <w:name w:val="textbody"/>
    <w:basedOn w:val="Normal"/>
    <w:qFormat/>
    <w:pPr>
      <w:spacing w:before="280" w:after="280"/>
    </w:pPr>
    <w:rPr>
      <w:rFonts w:ascii="Times New Roman" w:hAnsi="Times New Roman" w:eastAsia="Times New Roman" w:cs="Times New Roman"/>
    </w:rPr>
  </w:style>
  <w:style w:type="paragraph" w:styleId="Em0020ementa">
    <w:name w:val="em_0020ementa"/>
    <w:basedOn w:val="Normal"/>
    <w:qFormat/>
    <w:pPr>
      <w:ind w:left="4160" w:right="0" w:hanging="0"/>
      <w:jc w:val="both"/>
    </w:pPr>
    <w:rPr>
      <w:rFonts w:ascii="Times New Roman" w:hAnsi="Times New Roman" w:eastAsia="Times New Roman" w:cs="Times New Roman"/>
      <w:sz w:val="28"/>
      <w:szCs w:val="28"/>
    </w:rPr>
  </w:style>
  <w:style w:type="paragraph" w:styleId="Revision">
    <w:name w:val="Revision"/>
    <w:qFormat/>
    <w:pPr>
      <w:widowControl/>
      <w:suppressAutoHyphens w:val="true"/>
      <w:overflowPunct w:val="fals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name w:val="texto1"/>
    <w:basedOn w:val="Normal"/>
    <w:qFormat/>
    <w:pPr>
      <w:spacing w:before="280" w:after="280"/>
    </w:pPr>
    <w:rPr>
      <w:rFonts w:ascii="Times New Roman" w:hAnsi="Times New Roman" w:eastAsia="Times New Roman" w:cs="Times New Roman"/>
    </w:rPr>
  </w:style>
  <w:style w:type="paragraph" w:styleId="GradeColorida-nfase11">
    <w:name w:val="Grade Colorida - Ênfase 11"/>
    <w:basedOn w:val="Normal"/>
    <w:next w:val="Normal"/>
    <w:link w:val="GradeColorida-nfase1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cs="Times New Roman"/>
      <w:i/>
      <w:iCs/>
      <w:color w:val="000000"/>
      <w:sz w:val="20"/>
      <w:lang w:eastAsia="en-US"/>
    </w:rPr>
  </w:style>
  <w:style w:type="paragraph" w:styleId="Xwestern">
    <w:name w:val="x_western"/>
    <w:basedOn w:val="Normal"/>
    <w:qFormat/>
    <w:pPr>
      <w:spacing w:before="280" w:after="280"/>
    </w:pPr>
    <w:rPr>
      <w:rFonts w:ascii="Times New Roman" w:hAnsi="Times New Roman" w:eastAsia="Times New Roman" w:cs="Times New Roman"/>
    </w:rPr>
  </w:style>
  <w:style w:type="paragraph" w:styleId="TCU-Ac-item9-0">
    <w:name w:val="TCU - Ac - item 9 - §§_0"/>
    <w:basedOn w:val="Normal"/>
    <w:qFormat/>
    <w:pPr>
      <w:ind w:left="0" w:right="0" w:firstLine="1134"/>
      <w:jc w:val="both"/>
    </w:pPr>
    <w:rPr>
      <w:rFonts w:ascii="Times New Roman" w:hAnsi="Times New Roman" w:eastAsia="Times New Roman" w:cs="Times New Roman"/>
      <w:szCs w:val="22"/>
      <w:lang w:eastAsia="en-US"/>
    </w:rPr>
  </w:style>
  <w:style w:type="paragraph" w:styleId="Normal1">
    <w:name w:val="Normal_1"/>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name w:val="tcu_-__ac_-_item_9_-_1ª_linha"/>
    <w:basedOn w:val="Normal"/>
    <w:qFormat/>
    <w:pPr>
      <w:spacing w:before="280" w:after="280"/>
    </w:pPr>
    <w:rPr>
      <w:rFonts w:ascii="Times New Roman" w:hAnsi="Times New Roman" w:eastAsia="Times New Roman" w:cs="Times New Roman"/>
    </w:rPr>
  </w:style>
  <w:style w:type="paragraph" w:styleId="Textojustificadorecuoprimeiralinha">
    <w:name w:val="texto_justificado_recuo_primeira_linha"/>
    <w:basedOn w:val="Normal"/>
    <w:qFormat/>
    <w:pPr>
      <w:spacing w:before="280" w:after="280"/>
    </w:pPr>
    <w:rPr>
      <w:rFonts w:ascii="Times New Roman" w:hAnsi="Times New Roman" w:eastAsia="Times New Roman" w:cs="Times New Roman"/>
    </w:rPr>
  </w:style>
  <w:style w:type="paragraph" w:styleId="Textojustificado">
    <w:name w:val="texto_justificado"/>
    <w:basedOn w:val="Normal"/>
    <w:qFormat/>
    <w:pPr>
      <w:spacing w:before="280" w:after="280"/>
    </w:pPr>
    <w:rPr>
      <w:rFonts w:ascii="Times New Roman" w:hAnsi="Times New Roman" w:eastAsia="Times New Roman" w:cs="Times New Roman"/>
    </w:rPr>
  </w:style>
  <w:style w:type="paragraph" w:styleId="Nvel2Opcional">
    <w:name w:val="Nível 2 Opcional"/>
    <w:basedOn w:val="Nivel2-Opcional"/>
    <w:link w:val="Nvel2OpcionalChar"/>
    <w:qFormat/>
    <w:pPr>
      <w:numPr>
        <w:ilvl w:val="0"/>
        <w:numId w:val="0"/>
      </w:numPr>
      <w:ind w:left="432" w:right="0" w:hanging="432"/>
    </w:pPr>
    <w:rPr>
      <w:rFonts w:eastAsia="Times New Roman"/>
      <w:i w:val="false"/>
    </w:rPr>
  </w:style>
  <w:style w:type="paragraph" w:styleId="Nvel3Opcional">
    <w:name w:val="Nível 3 Opcional"/>
    <w:basedOn w:val="Nivel3-erro"/>
    <w:link w:val="Nvel3OpcionalChar"/>
    <w:qFormat/>
    <w:pPr>
      <w:numPr>
        <w:ilvl w:val="0"/>
        <w:numId w:val="0"/>
      </w:numPr>
      <w:ind w:left="1072" w:right="0" w:hanging="504"/>
    </w:pPr>
    <w:rPr>
      <w:rFonts w:eastAsia="Times New Roman"/>
      <w:i/>
      <w:iCs/>
      <w:color w:val="FF0000"/>
    </w:rPr>
  </w:style>
  <w:style w:type="paragraph"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fill="FFFFCC"/>
      <w:suppressAutoHyphens w:val="true"/>
      <w:spacing w:before="120" w:after="0"/>
      <w:jc w:val="both"/>
    </w:pPr>
    <w:rPr>
      <w:rFonts w:eastAsia="Calibri"/>
      <w:i/>
      <w:iCs/>
      <w:color w:val="000000"/>
      <w:sz w:val="20"/>
      <w:lang w:eastAsia="zh-CN"/>
    </w:rPr>
  </w:style>
  <w:style w:type="paragraph" w:styleId="Corpo">
    <w:name w:val="corpo"/>
    <w:basedOn w:val="Normal"/>
    <w:qFormat/>
    <w:pPr>
      <w:spacing w:before="280" w:after="280"/>
    </w:pPr>
    <w:rPr>
      <w:rFonts w:ascii="Times New Roman" w:hAnsi="Times New Roman" w:eastAsia="Times New Roman" w:cs="Times New Roman"/>
    </w:rPr>
  </w:style>
  <w:style w:type="paragraph" w:styleId="Itemnivel2">
    <w:name w:val="item_nivel2"/>
    <w:basedOn w:val="Normal"/>
    <w:qFormat/>
    <w:pPr>
      <w:spacing w:before="280" w:after="280"/>
    </w:pPr>
    <w:rPr>
      <w:rFonts w:ascii="Times New Roman" w:hAnsi="Times New Roman" w:eastAsia="Times New Roman" w:cs="Times New Roman"/>
    </w:rPr>
  </w:style>
  <w:style w:type="paragraph" w:styleId="Itemnivel1">
    <w:name w:val="item_nivel1"/>
    <w:basedOn w:val="Normal"/>
    <w:qFormat/>
    <w:pPr>
      <w:spacing w:before="280" w:after="280"/>
    </w:pPr>
    <w:rPr>
      <w:rFonts w:ascii="Times New Roman" w:hAnsi="Times New Roman" w:eastAsia="Times New Roman" w:cs="Times New Roman"/>
    </w:rPr>
  </w:style>
  <w:style w:type="paragraph" w:styleId="Itemalinealetra">
    <w:name w:val="item_alinea_letra"/>
    <w:basedOn w:val="Normal"/>
    <w:qFormat/>
    <w:pPr>
      <w:spacing w:before="280" w:after="280"/>
    </w:pPr>
    <w:rPr>
      <w:rFonts w:ascii="Times New Roman" w:hAnsi="Times New Roman" w:eastAsia="Times New Roman" w:cs="Times New Roman"/>
    </w:rPr>
  </w:style>
  <w:style w:type="paragraph" w:styleId="Standard">
    <w:name w:val="Standard"/>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name w:val="Text body"/>
    <w:basedOn w:val="Standard"/>
    <w:qFormat/>
    <w:pPr>
      <w:spacing w:lineRule="auto" w:line="276" w:before="0" w:after="140"/>
    </w:pPr>
    <w:rPr/>
  </w:style>
  <w:style w:type="paragraph" w:styleId="Ou">
    <w:name w:val="ou"/>
    <w:basedOn w:val="ListParagraph"/>
    <w:link w:val="OuChar"/>
    <w:autoRedefine/>
    <w:qFormat/>
    <w:pPr>
      <w:spacing w:lineRule="auto" w:line="259" w:before="60" w:after="60"/>
      <w:ind w:left="0" w:right="0" w:hanging="0"/>
      <w:contextualSpacing w:val="false"/>
      <w:jc w:val="center"/>
    </w:pPr>
    <w:rPr>
      <w:rFonts w:ascii="Arial" w:hAnsi="Arial" w:eastAsia="Cambria" w:cs="Arial"/>
      <w:b/>
      <w:bCs/>
      <w:i/>
      <w:iCs/>
      <w:color w:val="FF0000"/>
      <w:sz w:val="20"/>
    </w:rPr>
  </w:style>
  <w:style w:type="paragraph" w:styleId="Dou-paragraph">
    <w:name w:val="dou-paragraph"/>
    <w:basedOn w:val="Normal"/>
    <w:qFormat/>
    <w:pPr>
      <w:spacing w:before="280" w:after="280"/>
    </w:pPr>
    <w:rPr>
      <w:rFonts w:ascii="Times New Roman" w:hAnsi="Times New Roman" w:eastAsia="Times New Roman" w:cs="Times New Roman"/>
    </w:rPr>
  </w:style>
  <w:style w:type="paragraph" w:styleId="Nvel02">
    <w:name w:val="Nível 02"/>
    <w:basedOn w:val="Nivel2-Opcional"/>
    <w:link w:val="Nvel02Char"/>
    <w:autoRedefine/>
    <w:qFormat/>
    <w:pPr>
      <w:shd w:val="clear" w:fill="auto"/>
      <w:jc w:val="both"/>
    </w:pPr>
    <w:rPr>
      <w:i w:val="false"/>
      <w:iCs/>
      <w:color w:val="auto"/>
    </w:rPr>
  </w:style>
  <w:style w:type="paragraph" w:styleId="Nvel3-R">
    <w:name w:val="Nível 3-R"/>
    <w:basedOn w:val="Nivel3-erro"/>
    <w:link w:val="Nvel3-RChar"/>
    <w:autoRedefine/>
    <w:qFormat/>
    <w:pPr>
      <w:ind w:left="1638" w:right="0" w:hanging="504"/>
    </w:pPr>
    <w:rPr>
      <w:rFonts w:cs="Arial"/>
      <w:i/>
      <w:iCs/>
      <w:color w:val="FF0000"/>
    </w:rPr>
  </w:style>
  <w:style w:type="paragraph" w:styleId="Nvel4-R">
    <w:name w:val="Nível 4-R"/>
    <w:basedOn w:val="Nvel3-Opcional"/>
    <w:link w:val="Nvel4-RChar"/>
    <w:autoRedefine/>
    <w:qFormat/>
    <w:pPr>
      <w:ind w:left="567" w:right="0" w:hanging="0"/>
    </w:pPr>
    <w:rPr>
      <w:rFonts w:cs="Arial"/>
      <w:bCs/>
      <w:color w:val="000000"/>
      <w:szCs w:val="20"/>
    </w:rPr>
  </w:style>
  <w:style w:type="paragraph" w:styleId="Nvel1-SemNum">
    <w:name w:val="Nível 1-Sem Num"/>
    <w:basedOn w:val="Nivel01"/>
    <w:link w:val="Nvel1-SemNumChar"/>
    <w:autoRedefine/>
    <w:qFormat/>
    <w:pPr>
      <w:numPr>
        <w:ilvl w:val="0"/>
        <w:numId w:val="0"/>
      </w:numPr>
      <w:spacing w:before="120" w:after="120"/>
      <w:ind w:left="357" w:right="0" w:hanging="357"/>
      <w:outlineLvl w:val="1"/>
    </w:pPr>
    <w:rPr>
      <w:i/>
      <w:iCs w:val="false"/>
      <w:color w:val="FF0000"/>
    </w:rPr>
  </w:style>
  <w:style w:type="paragraph" w:styleId="Citao2">
    <w:name w:val="citação 2"/>
    <w:basedOn w:val="Quote"/>
    <w:link w:val="Citao2Char"/>
    <w:qFormat/>
    <w:pPr>
      <w:overflowPunct w:val="false"/>
    </w:pPr>
    <w:rPr>
      <w:szCs w:val="20"/>
    </w:rPr>
  </w:style>
  <w:style w:type="paragraph" w:styleId="Prembulo">
    <w:name w:val="Preâmbulo"/>
    <w:basedOn w:val="Normal"/>
    <w:link w:val="PrembuloChar"/>
    <w:qFormat/>
    <w:pPr>
      <w:spacing w:lineRule="auto" w:line="360" w:before="480" w:after="120"/>
      <w:ind w:left="4253" w:right="-17" w:hanging="0"/>
      <w:jc w:val="both"/>
    </w:pPr>
    <w:rPr>
      <w:rFonts w:ascii="Arial" w:hAnsi="Arial" w:eastAsia="Arial" w:cs="Arial"/>
      <w:bCs/>
      <w:sz w:val="20"/>
      <w:szCs w:val="20"/>
    </w:rPr>
  </w:style>
  <w:style w:type="paragraph" w:styleId="Nvel1-SemNumerao">
    <w:name w:val="Nível 1-Sem Numeração"/>
    <w:basedOn w:val="Nvel1-SemNum"/>
    <w:link w:val="Nvel1-SemNumeraoChar"/>
    <w:autoRedefine/>
    <w:qFormat/>
    <w:pPr/>
    <w:rPr>
      <w:i w:val="false"/>
      <w:color w:val="auto"/>
    </w:rPr>
  </w:style>
  <w:style w:type="paragraph" w:styleId="Nivel3">
    <w:name w:val="Nivel 3"/>
    <w:basedOn w:val="Normal"/>
    <w:link w:val="Nivel3Char"/>
    <w:qFormat/>
    <w:pPr>
      <w:numPr>
        <w:ilvl w:val="2"/>
        <w:numId w:val="5"/>
      </w:numPr>
      <w:spacing w:lineRule="auto" w:line="276" w:before="120" w:after="120"/>
      <w:ind w:left="284" w:right="0" w:hanging="0"/>
      <w:jc w:val="both"/>
    </w:pPr>
    <w:rPr>
      <w:rFonts w:ascii="Arial" w:hAnsi="Arial"/>
      <w:sz w:val="20"/>
    </w:rPr>
  </w:style>
  <w:style w:type="paragraph" w:styleId="Alteraes">
    <w:name w:val="Alterações"/>
    <w:basedOn w:val="Nvel02"/>
    <w:link w:val="AlteraesChar"/>
    <w:qFormat/>
    <w:pPr/>
    <w:rPr>
      <w:color w:val="0000FF"/>
    </w:rPr>
  </w:style>
  <w:style w:type="paragraph" w:styleId="Contedodatabela">
    <w:name w:val="Conteúdo da tabela"/>
    <w:basedOn w:val="Normal"/>
    <w:qFormat/>
    <w:pPr>
      <w:widowControl w:val="false"/>
      <w:suppressLineNumbers/>
      <w:suppressAutoHyphens w:val="true"/>
      <w:textAlignment w:val="baseline"/>
    </w:pPr>
    <w:rPr>
      <w:rFonts w:ascii="Times New Roman" w:hAnsi="Times New Roman" w:eastAsia="SimSun"/>
      <w:kern w:val="2"/>
      <w:lang w:eastAsia="zh-CN" w:bidi="hi-IN"/>
    </w:rPr>
  </w:style>
  <w:style w:type="paragraph" w:styleId="Nivel21">
    <w:name w:val="Nivel 21"/>
    <w:basedOn w:val="Normal"/>
    <w:next w:val="Nivel2-Opcional"/>
    <w:autoRedefine/>
    <w:qFormat/>
    <w:pPr>
      <w:shd w:val="clear" w:fill="948A54"/>
      <w:spacing w:lineRule="auto" w:line="276" w:before="120" w:after="120"/>
      <w:ind w:left="999" w:right="0" w:hanging="432"/>
      <w:jc w:val="both"/>
    </w:pPr>
    <w:rPr>
      <w:rFonts w:ascii="Arial" w:hAnsi="Arial" w:eastAsia="Arial" w:cs="Arial"/>
      <w:color w:val="000000"/>
      <w:sz w:val="20"/>
      <w:szCs w:val="20"/>
    </w:rPr>
  </w:style>
  <w:style w:type="paragraph" w:styleId="Nvel2-Opcional">
    <w:name w:val="Nível 2-Opcional"/>
    <w:basedOn w:val="Nvel02"/>
    <w:link w:val="Nvel2-OpcionalChar"/>
    <w:qFormat/>
    <w:pPr/>
    <w:rPr>
      <w:i/>
      <w:color w:val="FF0000"/>
    </w:rPr>
  </w:style>
  <w:style w:type="paragraph" w:styleId="Nvel3-Opcional">
    <w:name w:val="Nível 3-Opcional"/>
    <w:basedOn w:val="Nivel3"/>
    <w:link w:val="Nvel3-OpcionalChar"/>
    <w:qFormat/>
    <w:pPr/>
    <w:rPr>
      <w:i/>
      <w:color w:val="FF0000"/>
    </w:rPr>
  </w:style>
  <w:style w:type="paragraph" w:styleId="Nvel1-SemBlack">
    <w:name w:val="Nível 1-Sem Black"/>
    <w:basedOn w:val="Normal"/>
    <w:link w:val="Nvel1-SemBlackChar"/>
    <w:qFormat/>
    <w:pPr>
      <w:keepNext w:val="true"/>
      <w:keepLines/>
      <w:numPr>
        <w:ilvl w:val="0"/>
        <w:numId w:val="0"/>
      </w:numPr>
      <w:tabs>
        <w:tab w:val="clear" w:pos="709"/>
        <w:tab w:val="left" w:pos="567" w:leader="none"/>
      </w:tabs>
      <w:spacing w:lineRule="auto" w:line="276" w:before="240" w:after="120"/>
      <w:jc w:val="both"/>
      <w:outlineLvl w:val="1"/>
    </w:pPr>
    <w:rPr>
      <w:rFonts w:ascii="Arial" w:hAnsi="Arial" w:eastAsia="ＭＳ ゴシック" w:cs="Arial"/>
      <w:b/>
      <w:bCs/>
      <w:sz w:val="20"/>
      <w:szCs w:val="20"/>
    </w:rPr>
  </w:style>
  <w:style w:type="paragraph" w:styleId="Nivel2">
    <w:name w:val="Nivel 2"/>
    <w:basedOn w:val="Normal"/>
    <w:link w:val="Nivel2Char"/>
    <w:autoRedefine/>
    <w:qFormat/>
    <w:pPr>
      <w:spacing w:lineRule="auto" w:line="288" w:before="120" w:after="120"/>
      <w:jc w:val="both"/>
    </w:pPr>
    <w:rPr>
      <w:rFonts w:ascii="Arial" w:hAnsi="Arial" w:eastAsia="Arial" w:cs="Arial"/>
      <w:sz w:val="20"/>
      <w:szCs w:val="20"/>
    </w:rPr>
  </w:style>
  <w:style w:type="paragraph" w:styleId="Nvel2-Red">
    <w:name w:val="Nível 2 -Red"/>
    <w:basedOn w:val="Nivel2"/>
    <w:link w:val="Nvel2-RedChar"/>
    <w:qFormat/>
    <w:pPr>
      <w:ind w:left="2558" w:right="0" w:hanging="0"/>
    </w:pPr>
    <w:rPr>
      <w:i/>
      <w:iCs/>
      <w:color w:val="FF0000"/>
    </w:rPr>
  </w:style>
  <w:style w:type="paragraph" w:styleId="Nvel1-SemNumPreto">
    <w:name w:val="Nível 1-Sem Num Preto"/>
    <w:basedOn w:val="Nvel1-SemNum"/>
    <w:link w:val="Nvel1-SemNumPretoChar"/>
    <w:qFormat/>
    <w:pPr>
      <w:keepNext w:val="true"/>
      <w:keepLines/>
      <w:tabs>
        <w:tab w:val="clear" w:pos="709"/>
        <w:tab w:val="left" w:pos="567" w:leader="none"/>
      </w:tabs>
      <w:spacing w:before="240" w:after="120"/>
      <w:ind w:left="720" w:right="0" w:hanging="357"/>
    </w:pPr>
    <w:rPr>
      <w:rFonts w:eastAsia="ＭＳ ゴシック"/>
      <w:bCs/>
      <w:i w:val="false"/>
      <w:iCs/>
      <w:spacing w:val="5"/>
      <w:kern w:val="2"/>
      <w:sz w:val="52"/>
      <w:szCs w:val="52"/>
      <w:lang w:eastAsia="zh-CN" w:bidi="hi-IN"/>
    </w:rPr>
  </w:style>
  <w:style w:type="paragraph" w:styleId="Nvel4-Red">
    <w:name w:val="Nível 4-Red"/>
    <w:basedOn w:val="Nivel4"/>
    <w:link w:val="Nvel4-RedChar"/>
    <w:autoRedefine/>
    <w:qFormat/>
    <w:pPr>
      <w:numPr>
        <w:ilvl w:val="0"/>
        <w:numId w:val="0"/>
      </w:numPr>
      <w:suppressAutoHyphens w:val="true"/>
      <w:ind w:left="567" w:right="0" w:hanging="0"/>
    </w:pPr>
    <w:rPr>
      <w:rFonts w:eastAsia="MS Mincho"/>
      <w:bCs w:val="false"/>
      <w:iCs/>
      <w:color w:val="FF0000"/>
      <w:lang w:eastAsia="en-US"/>
    </w:rPr>
  </w:style>
  <w:style w:type="paragraph" w:styleId="Estilo7">
    <w:name w:val="Estilo7"/>
    <w:basedOn w:val="Nivel2"/>
    <w:link w:val="Estilo7Char"/>
    <w:qFormat/>
    <w:pPr/>
    <w:rPr>
      <w:i/>
      <w:color w:val="FF0000"/>
    </w:rPr>
  </w:style>
  <w:style w:type="paragraph" w:styleId="Estilo8">
    <w:name w:val="Estilo8"/>
    <w:basedOn w:val="Nivel3"/>
    <w:link w:val="Estilo8Char"/>
    <w:qFormat/>
    <w:pPr>
      <w:numPr>
        <w:ilvl w:val="0"/>
        <w:numId w:val="0"/>
      </w:numPr>
      <w:ind w:left="1276" w:right="0" w:hanging="0"/>
    </w:pPr>
    <w:rPr>
      <w:rFonts w:cs="Arial"/>
      <w:i/>
      <w:color w:val="FF0000"/>
    </w:rPr>
  </w:style>
  <w:style w:type="paragraph" w:styleId="Estilo9">
    <w:name w:val="Estilo9"/>
    <w:basedOn w:val="Nivel5"/>
    <w:link w:val="Estilo9Char"/>
    <w:qFormat/>
    <w:pPr>
      <w:numPr>
        <w:ilvl w:val="0"/>
        <w:numId w:val="0"/>
      </w:numPr>
      <w:ind w:left="1276" w:right="0" w:hanging="360"/>
    </w:pPr>
    <w:rPr>
      <w:i w:val="false"/>
      <w:szCs w:val="24"/>
    </w:rPr>
  </w:style>
  <w:style w:type="paragraph" w:styleId="EstiloNvel2-Redesquerda176cmPrimeiralinha0cm">
    <w:name w:val="Estilo Nível 2 -Red + À esquerda:  176 cm Primeira linha:  0 cm"/>
    <w:basedOn w:val="Nvel2-Red"/>
    <w:qFormat/>
    <w:pPr>
      <w:ind w:left="999" w:right="0" w:hanging="0"/>
    </w:pPr>
    <w:rPr>
      <w:rFonts w:eastAsia="Times New Roman" w:cs="Times New Roman"/>
    </w:rPr>
  </w:style>
  <w:style w:type="paragraph" w:styleId="Textodecomentrio1">
    <w:name w:val="Texto de comentário1"/>
    <w:basedOn w:val="Normal"/>
    <w:next w:val="Annotationtext"/>
    <w:qFormat/>
    <w:pPr/>
    <w:rPr>
      <w:rFonts w:eastAsia="Calibri"/>
      <w:kern w:val="2"/>
      <w:sz w:val="22"/>
      <w:szCs w:val="22"/>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CabealhoeRodap"/>
    <w:pPr>
      <w:suppressLineNumbers/>
    </w:pPr>
    <w:rPr/>
  </w:style>
  <w:style w:type="paragraph" w:styleId="Ttulodetabela">
    <w:name w:val="Título de tabela"/>
    <w:basedOn w:val="Contedodatabela"/>
    <w:qFormat/>
    <w:pPr>
      <w:suppressLineNumbers/>
      <w:jc w:val="center"/>
    </w:pPr>
    <w:rPr>
      <w:b/>
      <w:bCs/>
    </w:rPr>
  </w:style>
  <w:style w:type="paragraph" w:styleId="TableParagraph">
    <w:name w:val="Table Paragraph"/>
    <w:basedOn w:val="Normal"/>
    <w:qFormat/>
    <w:pPr/>
    <w:rPr>
      <w:rFonts w:ascii="Times New Roman" w:hAnsi="Times New Roman" w:eastAsia="Times New Roman" w:cs="Times New Roman"/>
      <w:lang w:val="pt-PT" w:eastAsia="en-US" w:bidi="ar-SA"/>
    </w:rPr>
  </w:style>
  <w:style w:type="paragraph" w:styleId="NormalTable">
    <w:name w:val="Normal Table"/>
    <w:qFormat/>
    <w:pPr>
      <w:widowControl w:val="false"/>
      <w:suppressAutoHyphens w:val="true"/>
      <w:bidi w:val="0"/>
      <w:spacing w:before="0" w:after="0"/>
      <w:jc w:val="left"/>
      <w:textAlignment w:val="auto"/>
    </w:pPr>
    <w:rPr>
      <w:rFonts w:ascii="Calibri" w:hAnsi="Calibri" w:eastAsia="Times New Roman" w:cs="Times New Roman"/>
      <w:color w:val="auto"/>
      <w:kern w:val="0"/>
      <w:sz w:val="22"/>
      <w:szCs w:val="22"/>
      <w:lang w:val="en-US" w:eastAsia="en-US" w:bidi="ar-SA"/>
    </w:rPr>
  </w:style>
  <w:style w:type="paragraph" w:styleId="Cabealho">
    <w:name w:val="Header"/>
    <w:basedOn w:val="CabealhoeRodap"/>
    <w:pPr>
      <w:suppressLineNumbers/>
    </w:pPr>
    <w:rPr/>
  </w:style>
  <w:style w:type="numbering" w:styleId="Estilo1">
    <w:name w:val="Estilo1"/>
    <w:qFormat/>
  </w:style>
  <w:style w:type="numbering" w:styleId="Estilo2">
    <w:name w:val="Estilo2"/>
    <w:qFormat/>
  </w:style>
  <w:style w:type="numbering" w:styleId="Estilo3">
    <w:name w:val="Estilo3"/>
    <w:qFormat/>
  </w:style>
  <w:style w:type="numbering" w:styleId="Estilo4">
    <w:name w:val="Estilo4"/>
    <w:qFormat/>
  </w:style>
  <w:style w:type="numbering" w:styleId="Estilo5">
    <w:name w:val="Estilo5"/>
    <w:qFormat/>
  </w:style>
  <w:style w:type="numbering" w:styleId="Estilo6">
    <w:name w:val="Estilo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inmetro.gov.br/legislacao" TargetMode="External"/><Relationship Id="rId4" Type="http://schemas.openxmlformats.org/officeDocument/2006/relationships/hyperlink" Target="https://www.planalto.gov.br/ccivil_03/leis/l8078compilado.htm"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1151</TotalTime>
  <Application>LibreOffice/7.5.1.2$Windows_X86_64 LibreOffice_project/fcbaee479e84c6cd81291587d2ee68cba099e129</Application>
  <AppVersion>15.0000</AppVersion>
  <Pages>49</Pages>
  <Words>14073</Words>
  <Characters>76553</Characters>
  <CharactersWithSpaces>87887</CharactersWithSpaces>
  <Paragraphs>2587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2025-03-24T18:22:00Z</dcterms:created>
  <dc:creator/>
  <dc:description/>
  <dc:language>pt-BR</dc:language>
  <cp:lastModifiedBy/>
  <dcterms:modified xsi:type="dcterms:W3CDTF">2025-08-20T20:00:38Z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file>